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F0" w:rsidRDefault="00E465F0" w:rsidP="00E465F0">
      <w:pPr>
        <w:spacing w:after="0" w:line="360" w:lineRule="auto"/>
        <w:jc w:val="center"/>
        <w:rPr>
          <w:rFonts w:ascii="Arial" w:hAnsi="Arial" w:cs="Arial"/>
          <w:b/>
          <w:caps/>
          <w:sz w:val="24"/>
          <w:szCs w:val="24"/>
          <w:lang w:val="es-ES_tradnl"/>
        </w:rPr>
      </w:pPr>
      <w:r>
        <w:rPr>
          <w:rFonts w:ascii="Arial" w:hAnsi="Arial" w:cs="Arial"/>
          <w:b/>
          <w:caps/>
          <w:sz w:val="24"/>
          <w:szCs w:val="24"/>
          <w:lang w:val="es-ES_tradnl"/>
        </w:rPr>
        <w:t xml:space="preserve">III Congreso Nacional y II Congreso virtual de medicina familiar. </w:t>
      </w:r>
    </w:p>
    <w:p w:rsidR="00E465F0" w:rsidRPr="00752EE7" w:rsidRDefault="00E465F0" w:rsidP="00E465F0">
      <w:pPr>
        <w:spacing w:after="0" w:line="360" w:lineRule="auto"/>
        <w:jc w:val="center"/>
        <w:rPr>
          <w:rFonts w:ascii="Arial" w:hAnsi="Arial" w:cs="Arial"/>
          <w:b/>
          <w:sz w:val="24"/>
          <w:szCs w:val="24"/>
          <w:lang w:val="es-ES_tradnl"/>
        </w:rPr>
      </w:pPr>
      <w:r w:rsidRPr="00752EE7">
        <w:rPr>
          <w:rFonts w:ascii="Arial" w:hAnsi="Arial" w:cs="Arial"/>
          <w:b/>
          <w:sz w:val="24"/>
          <w:szCs w:val="24"/>
          <w:lang w:val="es-ES_tradnl"/>
        </w:rPr>
        <w:t>Temática: Manejo integral de las ENT  y/o con discapacidad</w:t>
      </w:r>
    </w:p>
    <w:p w:rsidR="00E465F0" w:rsidRPr="00752EE7" w:rsidRDefault="00E465F0" w:rsidP="00E465F0">
      <w:pPr>
        <w:spacing w:after="0" w:line="360" w:lineRule="auto"/>
        <w:jc w:val="center"/>
        <w:rPr>
          <w:rFonts w:ascii="Arial" w:hAnsi="Arial" w:cs="Arial"/>
          <w:b/>
          <w:sz w:val="24"/>
          <w:szCs w:val="24"/>
          <w:lang w:val="es-ES_tradnl"/>
        </w:rPr>
      </w:pPr>
      <w:bookmarkStart w:id="0" w:name="_GoBack"/>
      <w:bookmarkEnd w:id="0"/>
    </w:p>
    <w:p w:rsidR="006D24A9" w:rsidRPr="00C6585A" w:rsidRDefault="006D24A9" w:rsidP="00C6585A">
      <w:pPr>
        <w:spacing w:after="0" w:line="360" w:lineRule="auto"/>
        <w:jc w:val="center"/>
        <w:rPr>
          <w:rStyle w:val="fontstyle01"/>
          <w:rFonts w:ascii="Arial" w:hAnsi="Arial" w:cs="Arial"/>
          <w:b/>
          <w:caps/>
          <w:color w:val="auto"/>
          <w:sz w:val="24"/>
          <w:szCs w:val="24"/>
        </w:rPr>
      </w:pPr>
      <w:r w:rsidRPr="00C6585A">
        <w:rPr>
          <w:rStyle w:val="fontstyle01"/>
          <w:rFonts w:ascii="Arial" w:hAnsi="Arial" w:cs="Arial"/>
          <w:b/>
          <w:caps/>
          <w:color w:val="auto"/>
          <w:sz w:val="24"/>
          <w:szCs w:val="24"/>
        </w:rPr>
        <w:t>Determinación de microalbuminuria</w:t>
      </w:r>
      <w:r w:rsidRPr="00C6585A">
        <w:rPr>
          <w:rFonts w:ascii="Arial" w:hAnsi="Arial" w:cs="Arial"/>
          <w:b/>
          <w:caps/>
          <w:sz w:val="24"/>
          <w:szCs w:val="24"/>
        </w:rPr>
        <w:t xml:space="preserve"> </w:t>
      </w:r>
      <w:r w:rsidRPr="00C6585A">
        <w:rPr>
          <w:rStyle w:val="fontstyle01"/>
          <w:rFonts w:ascii="Arial" w:hAnsi="Arial" w:cs="Arial"/>
          <w:b/>
          <w:caps/>
          <w:color w:val="auto"/>
          <w:sz w:val="24"/>
          <w:szCs w:val="24"/>
        </w:rPr>
        <w:t>para la detección temprana del</w:t>
      </w:r>
      <w:r w:rsidRPr="00C6585A">
        <w:rPr>
          <w:rFonts w:ascii="Arial" w:hAnsi="Arial" w:cs="Arial"/>
          <w:b/>
          <w:caps/>
          <w:sz w:val="24"/>
          <w:szCs w:val="24"/>
        </w:rPr>
        <w:t xml:space="preserve"> </w:t>
      </w:r>
      <w:r w:rsidRPr="00C6585A">
        <w:rPr>
          <w:rStyle w:val="fontstyle01"/>
          <w:rFonts w:ascii="Arial" w:hAnsi="Arial" w:cs="Arial"/>
          <w:b/>
          <w:caps/>
          <w:color w:val="auto"/>
          <w:sz w:val="24"/>
          <w:szCs w:val="24"/>
        </w:rPr>
        <w:t>daño renal</w:t>
      </w:r>
      <w:r w:rsidR="00A23BB4" w:rsidRPr="00C6585A">
        <w:rPr>
          <w:rStyle w:val="fontstyle01"/>
          <w:rFonts w:ascii="Arial" w:hAnsi="Arial" w:cs="Arial"/>
          <w:b/>
          <w:caps/>
          <w:color w:val="auto"/>
          <w:sz w:val="24"/>
          <w:szCs w:val="24"/>
        </w:rPr>
        <w:t xml:space="preserve"> en adultos mayores</w:t>
      </w:r>
    </w:p>
    <w:p w:rsidR="00E465F0" w:rsidRPr="00AC3E5E" w:rsidRDefault="00E465F0" w:rsidP="00E465F0">
      <w:pPr>
        <w:tabs>
          <w:tab w:val="left" w:pos="3640"/>
          <w:tab w:val="center" w:pos="4419"/>
        </w:tabs>
        <w:spacing w:after="0" w:line="360" w:lineRule="auto"/>
        <w:jc w:val="both"/>
        <w:rPr>
          <w:rFonts w:ascii="Arial" w:eastAsia="Arial" w:hAnsi="Arial" w:cs="Arial"/>
          <w:sz w:val="28"/>
          <w:szCs w:val="28"/>
          <w:lang w:val="es-ES_tradnl" w:eastAsia="es-ES"/>
        </w:rPr>
      </w:pPr>
    </w:p>
    <w:p w:rsidR="00E465F0" w:rsidRPr="00AC3E5E" w:rsidRDefault="00E465F0" w:rsidP="00E465F0">
      <w:pPr>
        <w:tabs>
          <w:tab w:val="left" w:pos="3640"/>
          <w:tab w:val="center" w:pos="4419"/>
        </w:tabs>
        <w:spacing w:after="0" w:line="360" w:lineRule="auto"/>
        <w:jc w:val="both"/>
        <w:rPr>
          <w:rFonts w:ascii="Arial" w:eastAsia="Arial" w:hAnsi="Arial" w:cs="Arial"/>
          <w:sz w:val="24"/>
          <w:szCs w:val="24"/>
          <w:vertAlign w:val="superscript"/>
          <w:lang w:val="es-ES_tradnl" w:eastAsia="es-ES"/>
        </w:rPr>
      </w:pPr>
      <w:r w:rsidRPr="00B26575">
        <w:rPr>
          <w:rFonts w:ascii="Arial" w:eastAsia="Arial" w:hAnsi="Arial" w:cs="Arial"/>
          <w:sz w:val="24"/>
          <w:szCs w:val="24"/>
          <w:lang w:val="es-ES_tradnl" w:eastAsia="es-ES"/>
        </w:rPr>
        <w:t>Rodríguez Ramos</w:t>
      </w:r>
      <w:r w:rsidRPr="00AC3E5E">
        <w:rPr>
          <w:rFonts w:ascii="Arial" w:eastAsia="Arial" w:hAnsi="Arial" w:cs="Arial"/>
          <w:sz w:val="24"/>
          <w:szCs w:val="24"/>
          <w:lang w:val="es-ES_tradnl" w:eastAsia="es-ES"/>
        </w:rPr>
        <w:t xml:space="preserve"> </w:t>
      </w:r>
      <w:r w:rsidRPr="00B26575">
        <w:rPr>
          <w:rFonts w:ascii="Arial" w:eastAsia="Arial" w:hAnsi="Arial" w:cs="Arial"/>
          <w:sz w:val="24"/>
          <w:szCs w:val="24"/>
          <w:lang w:val="es-ES_tradnl" w:eastAsia="es-ES"/>
        </w:rPr>
        <w:t xml:space="preserve">Jorge Félix </w:t>
      </w:r>
      <w:r w:rsidRPr="00B26575">
        <w:rPr>
          <w:rFonts w:ascii="Arial" w:eastAsia="Arial" w:hAnsi="Arial" w:cs="Arial"/>
          <w:sz w:val="24"/>
          <w:szCs w:val="24"/>
          <w:vertAlign w:val="superscript"/>
          <w:lang w:val="es-ES_tradnl" w:eastAsia="es-ES"/>
        </w:rPr>
        <w:t>1</w:t>
      </w:r>
      <w:r>
        <w:rPr>
          <w:rFonts w:ascii="Arial" w:eastAsia="Arial" w:hAnsi="Arial" w:cs="Arial"/>
          <w:sz w:val="24"/>
          <w:szCs w:val="24"/>
          <w:lang w:val="es-ES_tradnl" w:eastAsia="es-ES"/>
        </w:rPr>
        <w:t xml:space="preserve">, </w:t>
      </w:r>
      <w:r w:rsidRPr="00B26575">
        <w:rPr>
          <w:rFonts w:ascii="Arial" w:eastAsia="Arial" w:hAnsi="Arial" w:cs="Arial"/>
          <w:sz w:val="24"/>
          <w:szCs w:val="24"/>
          <w:lang w:val="es-ES_tradnl" w:eastAsia="es-ES"/>
        </w:rPr>
        <w:t>Herrera Miranda</w:t>
      </w:r>
      <w:r w:rsidRPr="00AC3E5E">
        <w:rPr>
          <w:rFonts w:ascii="Arial" w:eastAsia="Arial" w:hAnsi="Arial" w:cs="Arial"/>
          <w:sz w:val="24"/>
          <w:szCs w:val="24"/>
          <w:lang w:val="es-ES_tradnl" w:eastAsia="es-ES"/>
        </w:rPr>
        <w:t xml:space="preserve"> </w:t>
      </w:r>
      <w:r w:rsidRPr="00B26575">
        <w:rPr>
          <w:rFonts w:ascii="Arial" w:eastAsia="Arial" w:hAnsi="Arial" w:cs="Arial"/>
          <w:sz w:val="24"/>
          <w:szCs w:val="24"/>
          <w:lang w:val="es-ES_tradnl" w:eastAsia="es-ES"/>
        </w:rPr>
        <w:t>Guillermo Luis</w:t>
      </w:r>
      <w:r>
        <w:rPr>
          <w:rFonts w:ascii="Arial" w:eastAsia="Arial" w:hAnsi="Arial" w:cs="Arial"/>
          <w:sz w:val="24"/>
          <w:szCs w:val="24"/>
          <w:lang w:val="es-ES_tradnl" w:eastAsia="es-ES"/>
        </w:rPr>
        <w:t xml:space="preserve"> </w:t>
      </w:r>
      <w:r w:rsidRPr="00B26575">
        <w:rPr>
          <w:rFonts w:ascii="Arial" w:eastAsia="Arial" w:hAnsi="Arial" w:cs="Arial"/>
          <w:sz w:val="24"/>
          <w:szCs w:val="24"/>
          <w:vertAlign w:val="superscript"/>
          <w:lang w:val="es-ES_tradnl" w:eastAsia="es-ES"/>
        </w:rPr>
        <w:t>2</w:t>
      </w:r>
      <w:r>
        <w:rPr>
          <w:rFonts w:ascii="Arial" w:eastAsia="Arial" w:hAnsi="Arial" w:cs="Arial"/>
          <w:sz w:val="24"/>
          <w:szCs w:val="24"/>
          <w:vertAlign w:val="superscript"/>
          <w:lang w:val="es-ES_tradnl" w:eastAsia="es-ES"/>
        </w:rPr>
        <w:t xml:space="preserve"> </w:t>
      </w:r>
      <w:r>
        <w:rPr>
          <w:rFonts w:ascii="Arial" w:eastAsia="Arial" w:hAnsi="Arial" w:cs="Arial"/>
          <w:sz w:val="24"/>
          <w:szCs w:val="24"/>
          <w:lang w:val="es-ES_tradnl" w:eastAsia="es-ES"/>
        </w:rPr>
        <w:t>Rodríguez Boffill Julio Cesar</w:t>
      </w:r>
      <w:r>
        <w:rPr>
          <w:rFonts w:ascii="Arial" w:eastAsia="Arial" w:hAnsi="Arial" w:cs="Arial"/>
          <w:sz w:val="24"/>
          <w:szCs w:val="24"/>
          <w:vertAlign w:val="superscript"/>
          <w:lang w:val="es-ES_tradnl" w:eastAsia="es-ES"/>
        </w:rPr>
        <w:t>3</w:t>
      </w:r>
    </w:p>
    <w:p w:rsidR="00E465F0" w:rsidRPr="00B26575" w:rsidRDefault="00E465F0" w:rsidP="00E465F0">
      <w:pPr>
        <w:spacing w:after="0" w:line="360" w:lineRule="auto"/>
        <w:jc w:val="both"/>
        <w:rPr>
          <w:rFonts w:ascii="Arial" w:hAnsi="Arial" w:cs="Arial"/>
          <w:bCs/>
          <w:snapToGrid w:val="0"/>
          <w:sz w:val="24"/>
          <w:szCs w:val="24"/>
          <w:lang w:val="es-ES_tradnl"/>
        </w:rPr>
      </w:pPr>
      <w:r>
        <w:rPr>
          <w:rFonts w:ascii="Arial" w:eastAsia="Arial" w:hAnsi="Arial" w:cs="Arial"/>
          <w:sz w:val="24"/>
          <w:szCs w:val="24"/>
          <w:vertAlign w:val="superscript"/>
          <w:lang w:val="es-ES_tradnl" w:eastAsia="es-ES"/>
        </w:rPr>
        <w:t>1</w:t>
      </w:r>
      <w:r w:rsidRPr="00B26575">
        <w:rPr>
          <w:rFonts w:ascii="Arial" w:eastAsia="Arial" w:hAnsi="Arial" w:cs="Arial"/>
          <w:sz w:val="24"/>
          <w:szCs w:val="24"/>
          <w:lang w:val="es-ES_tradnl" w:eastAsia="es-ES"/>
        </w:rPr>
        <w:t>Policlínico Luìs Augusto Turcios Lima</w:t>
      </w:r>
      <w:r>
        <w:rPr>
          <w:rFonts w:ascii="Arial" w:eastAsia="Arial" w:hAnsi="Arial" w:cs="Arial"/>
          <w:sz w:val="24"/>
          <w:szCs w:val="24"/>
          <w:lang w:val="es-ES_tradnl" w:eastAsia="es-ES"/>
        </w:rPr>
        <w:t xml:space="preserve">. JGBT. </w:t>
      </w:r>
      <w:r w:rsidRPr="00B26575">
        <w:rPr>
          <w:rFonts w:ascii="Arial" w:eastAsia="Arial" w:hAnsi="Arial" w:cs="Arial"/>
          <w:sz w:val="24"/>
          <w:szCs w:val="24"/>
          <w:lang w:val="es-ES_tradnl" w:eastAsia="es-ES"/>
        </w:rPr>
        <w:t>Especialista de II Grado en Medicina General Integral. Máster en Urgencias Médicas. Profesor Auxiliar. Investigador Agregado. Pinar del Río, Cuba.</w:t>
      </w:r>
      <w:r w:rsidRPr="00B26575">
        <w:rPr>
          <w:rFonts w:ascii="Arial" w:hAnsi="Arial" w:cs="Arial"/>
          <w:bCs/>
          <w:snapToGrid w:val="0"/>
          <w:sz w:val="24"/>
          <w:szCs w:val="24"/>
          <w:lang w:val="es-ES_tradnl"/>
        </w:rPr>
        <w:t xml:space="preserve"> Email: </w:t>
      </w:r>
      <w:hyperlink r:id="rId8" w:history="1">
        <w:r w:rsidRPr="00B26575">
          <w:rPr>
            <w:rFonts w:ascii="Arial" w:hAnsi="Arial" w:cs="Arial"/>
            <w:color w:val="0563C1"/>
            <w:sz w:val="24"/>
            <w:szCs w:val="24"/>
            <w:u w:val="single"/>
            <w:lang w:val="es-ES_tradnl"/>
          </w:rPr>
          <w:t>jorgefch@infomed.sld.cu</w:t>
        </w:r>
      </w:hyperlink>
    </w:p>
    <w:p w:rsidR="00E465F0" w:rsidRDefault="00E465F0" w:rsidP="00E465F0">
      <w:pPr>
        <w:tabs>
          <w:tab w:val="left" w:pos="3640"/>
          <w:tab w:val="center" w:pos="4419"/>
        </w:tabs>
        <w:spacing w:after="0" w:line="360" w:lineRule="auto"/>
        <w:jc w:val="both"/>
        <w:rPr>
          <w:rFonts w:ascii="Arial" w:hAnsi="Arial" w:cs="Arial"/>
          <w:bCs/>
          <w:snapToGrid w:val="0"/>
          <w:sz w:val="24"/>
          <w:szCs w:val="24"/>
          <w:lang w:val="es-ES_tradnl"/>
        </w:rPr>
      </w:pPr>
      <w:r>
        <w:rPr>
          <w:rFonts w:ascii="Arial" w:eastAsia="Arial" w:hAnsi="Arial" w:cs="Arial"/>
          <w:sz w:val="24"/>
          <w:szCs w:val="24"/>
          <w:vertAlign w:val="superscript"/>
          <w:lang w:val="es-ES_tradnl" w:eastAsia="es-ES"/>
        </w:rPr>
        <w:t>2</w:t>
      </w:r>
      <w:r w:rsidRPr="00B26575">
        <w:rPr>
          <w:rFonts w:ascii="Arial" w:eastAsia="Arial" w:hAnsi="Arial" w:cs="Arial"/>
          <w:sz w:val="24"/>
          <w:szCs w:val="24"/>
          <w:lang w:val="es-ES_tradnl" w:eastAsia="es-ES"/>
        </w:rPr>
        <w:t>Universidad de Ciencias Médicas de Pinar del Río</w:t>
      </w:r>
      <w:r>
        <w:rPr>
          <w:rFonts w:ascii="Arial" w:eastAsia="Arial" w:hAnsi="Arial" w:cs="Arial"/>
          <w:sz w:val="24"/>
          <w:szCs w:val="24"/>
          <w:lang w:val="es-ES_tradnl" w:eastAsia="es-ES"/>
        </w:rPr>
        <w:t>. Vicerrector académico.</w:t>
      </w:r>
      <w:r w:rsidRPr="00B26575">
        <w:rPr>
          <w:rFonts w:ascii="Arial" w:eastAsia="Arial" w:hAnsi="Arial" w:cs="Arial"/>
          <w:sz w:val="24"/>
          <w:szCs w:val="24"/>
          <w:lang w:val="es-ES_tradnl" w:eastAsia="es-ES"/>
        </w:rPr>
        <w:t xml:space="preserve"> Doctor en Ciencias Pedagógicas. Especialista de II grado en Medicina Interna. Máster en Longevidad Satisfactoria. Máster en Educación Médica. Profesor Titular. Investigador Auxiliar. Pinar del Río</w:t>
      </w:r>
      <w:r>
        <w:rPr>
          <w:rFonts w:ascii="Arial" w:eastAsia="Arial" w:hAnsi="Arial" w:cs="Arial"/>
          <w:sz w:val="24"/>
          <w:szCs w:val="24"/>
          <w:lang w:val="es-ES_tradnl" w:eastAsia="es-ES"/>
        </w:rPr>
        <w:t xml:space="preserve">. </w:t>
      </w:r>
      <w:r w:rsidRPr="00B26575">
        <w:rPr>
          <w:rFonts w:ascii="Arial" w:eastAsia="Arial" w:hAnsi="Arial" w:cs="Arial"/>
          <w:sz w:val="24"/>
          <w:szCs w:val="24"/>
          <w:lang w:val="es-ES_tradnl" w:eastAsia="es-ES"/>
        </w:rPr>
        <w:t>Cuba.</w:t>
      </w:r>
      <w:r w:rsidRPr="00B26575">
        <w:rPr>
          <w:rFonts w:ascii="Arial" w:hAnsi="Arial" w:cs="Arial"/>
          <w:bCs/>
          <w:snapToGrid w:val="0"/>
          <w:sz w:val="24"/>
          <w:szCs w:val="24"/>
          <w:lang w:val="es-ES_tradnl"/>
        </w:rPr>
        <w:t xml:space="preserve"> </w:t>
      </w:r>
    </w:p>
    <w:p w:rsidR="00E465F0" w:rsidRPr="00AC3E5E" w:rsidRDefault="00E465F0" w:rsidP="00E465F0">
      <w:pPr>
        <w:tabs>
          <w:tab w:val="left" w:pos="3640"/>
          <w:tab w:val="center" w:pos="4419"/>
        </w:tabs>
        <w:spacing w:after="0" w:line="360" w:lineRule="auto"/>
        <w:jc w:val="both"/>
        <w:rPr>
          <w:rFonts w:ascii="Arial" w:eastAsia="Arial" w:hAnsi="Arial" w:cs="Arial"/>
          <w:sz w:val="24"/>
          <w:szCs w:val="24"/>
          <w:lang w:val="es-ES_tradnl" w:eastAsia="es-ES"/>
        </w:rPr>
      </w:pPr>
      <w:r w:rsidRPr="00AC3E5E">
        <w:rPr>
          <w:rFonts w:ascii="Arial" w:hAnsi="Arial" w:cs="Arial"/>
          <w:bCs/>
          <w:snapToGrid w:val="0"/>
          <w:sz w:val="24"/>
          <w:szCs w:val="24"/>
          <w:vertAlign w:val="superscript"/>
          <w:lang w:val="es-ES_tradnl"/>
        </w:rPr>
        <w:t xml:space="preserve">3 </w:t>
      </w:r>
      <w:r w:rsidRPr="00AC3E5E">
        <w:rPr>
          <w:rFonts w:ascii="Arial" w:hAnsi="Arial" w:cs="Arial"/>
          <w:bCs/>
          <w:snapToGrid w:val="0"/>
          <w:sz w:val="24"/>
          <w:szCs w:val="24"/>
          <w:lang w:val="es-ES_tradnl"/>
        </w:rPr>
        <w:t xml:space="preserve">Centro Provincial de Higiene y Epidemiología </w:t>
      </w:r>
      <w:r w:rsidRPr="00AC3E5E">
        <w:rPr>
          <w:rFonts w:ascii="Arial" w:eastAsia="Arial" w:hAnsi="Arial" w:cs="Arial"/>
          <w:sz w:val="24"/>
          <w:szCs w:val="24"/>
          <w:lang w:val="es-ES_tradnl" w:eastAsia="es-ES"/>
        </w:rPr>
        <w:t xml:space="preserve">de Pinar del Río. </w:t>
      </w:r>
      <w:r>
        <w:rPr>
          <w:rFonts w:ascii="Arial" w:eastAsia="Arial" w:hAnsi="Arial" w:cs="Arial"/>
          <w:sz w:val="24"/>
          <w:szCs w:val="24"/>
          <w:lang w:val="es-ES_tradnl" w:eastAsia="es-ES"/>
        </w:rPr>
        <w:t xml:space="preserve">Residente de Higiene y Epidemiología. </w:t>
      </w:r>
      <w:r w:rsidRPr="00B26575">
        <w:rPr>
          <w:rFonts w:ascii="Arial" w:eastAsia="Arial" w:hAnsi="Arial" w:cs="Arial"/>
          <w:sz w:val="24"/>
          <w:szCs w:val="24"/>
          <w:lang w:val="es-ES_tradnl" w:eastAsia="es-ES"/>
        </w:rPr>
        <w:t>Pinar del Río</w:t>
      </w:r>
      <w:r>
        <w:rPr>
          <w:rFonts w:ascii="Arial" w:eastAsia="Arial" w:hAnsi="Arial" w:cs="Arial"/>
          <w:sz w:val="24"/>
          <w:szCs w:val="24"/>
          <w:lang w:val="es-ES_tradnl" w:eastAsia="es-ES"/>
        </w:rPr>
        <w:t xml:space="preserve">. </w:t>
      </w:r>
      <w:r w:rsidRPr="00B26575">
        <w:rPr>
          <w:rFonts w:ascii="Arial" w:eastAsia="Arial" w:hAnsi="Arial" w:cs="Arial"/>
          <w:sz w:val="24"/>
          <w:szCs w:val="24"/>
          <w:lang w:val="es-ES_tradnl" w:eastAsia="es-ES"/>
        </w:rPr>
        <w:t>Cuba.</w:t>
      </w:r>
    </w:p>
    <w:p w:rsidR="006D24A9" w:rsidRPr="00225EFA" w:rsidRDefault="006D24A9" w:rsidP="00C6585A">
      <w:pPr>
        <w:spacing w:after="0" w:line="360" w:lineRule="auto"/>
        <w:jc w:val="both"/>
        <w:rPr>
          <w:rStyle w:val="fontstyle01"/>
          <w:rFonts w:ascii="Arial" w:hAnsi="Arial" w:cs="Arial"/>
          <w:b/>
          <w:caps/>
          <w:color w:val="auto"/>
          <w:sz w:val="24"/>
          <w:szCs w:val="24"/>
          <w:vertAlign w:val="superscript"/>
        </w:rPr>
      </w:pPr>
    </w:p>
    <w:p w:rsidR="006D24A9" w:rsidRPr="00EA39FA" w:rsidRDefault="006D24A9" w:rsidP="00C6585A">
      <w:pPr>
        <w:spacing w:after="0" w:line="360" w:lineRule="auto"/>
        <w:rPr>
          <w:rStyle w:val="fontstyle01"/>
          <w:rFonts w:ascii="Arial" w:hAnsi="Arial" w:cs="Arial"/>
          <w:b/>
          <w:caps/>
          <w:color w:val="auto"/>
          <w:sz w:val="24"/>
          <w:szCs w:val="24"/>
        </w:rPr>
      </w:pPr>
      <w:r w:rsidRPr="00EA39FA">
        <w:rPr>
          <w:rStyle w:val="fontstyle01"/>
          <w:rFonts w:ascii="Arial" w:hAnsi="Arial" w:cs="Arial"/>
          <w:b/>
          <w:caps/>
          <w:color w:val="auto"/>
          <w:sz w:val="24"/>
          <w:szCs w:val="24"/>
        </w:rPr>
        <w:t>Resumen</w:t>
      </w:r>
    </w:p>
    <w:p w:rsidR="0085088F" w:rsidRPr="00A928FE" w:rsidRDefault="006D24A9" w:rsidP="00C6585A">
      <w:pPr>
        <w:spacing w:after="0" w:line="360" w:lineRule="auto"/>
        <w:jc w:val="both"/>
        <w:rPr>
          <w:rStyle w:val="nfasis"/>
          <w:rFonts w:ascii="Arial" w:hAnsi="Arial" w:cs="Arial"/>
          <w:i w:val="0"/>
          <w:sz w:val="24"/>
          <w:szCs w:val="24"/>
        </w:rPr>
      </w:pPr>
      <w:r w:rsidRPr="00A928FE">
        <w:rPr>
          <w:rStyle w:val="nfasis"/>
          <w:rFonts w:ascii="Arial" w:hAnsi="Arial" w:cs="Arial"/>
          <w:i w:val="0"/>
          <w:sz w:val="24"/>
          <w:szCs w:val="24"/>
        </w:rPr>
        <w:t>Introducción: La determinación de microalbuminuria resulta fundamental para detectar pacientes con riesgo de desarrollar lesión renal. Objetivo: demostrar la utilidad de la determinación de microalbuminuria mediante</w:t>
      </w:r>
      <w:r w:rsidR="00CB68B4" w:rsidRPr="00A928FE">
        <w:rPr>
          <w:rStyle w:val="nfasis"/>
          <w:rFonts w:ascii="Arial" w:hAnsi="Arial" w:cs="Arial"/>
          <w:i w:val="0"/>
          <w:sz w:val="24"/>
          <w:szCs w:val="24"/>
        </w:rPr>
        <w:t xml:space="preserve"> Umelisa </w:t>
      </w:r>
      <w:r w:rsidRPr="00A928FE">
        <w:rPr>
          <w:rStyle w:val="nfasis"/>
          <w:rFonts w:ascii="Arial" w:hAnsi="Arial" w:cs="Arial"/>
          <w:i w:val="0"/>
          <w:sz w:val="24"/>
          <w:szCs w:val="24"/>
        </w:rPr>
        <w:t>para la detección temprana del daño renal</w:t>
      </w:r>
      <w:r w:rsidR="00057B9F">
        <w:rPr>
          <w:rStyle w:val="nfasis"/>
          <w:rFonts w:ascii="Arial" w:hAnsi="Arial" w:cs="Arial"/>
          <w:i w:val="0"/>
          <w:sz w:val="24"/>
          <w:szCs w:val="24"/>
        </w:rPr>
        <w:t xml:space="preserve"> en adultos mayores</w:t>
      </w:r>
      <w:r w:rsidRPr="00A928FE">
        <w:rPr>
          <w:rStyle w:val="nfasis"/>
          <w:rFonts w:ascii="Arial" w:hAnsi="Arial" w:cs="Arial"/>
          <w:i w:val="0"/>
          <w:sz w:val="24"/>
          <w:szCs w:val="24"/>
        </w:rPr>
        <w:t>. M</w:t>
      </w:r>
      <w:r w:rsidR="00C6585A">
        <w:rPr>
          <w:rStyle w:val="nfasis"/>
          <w:rFonts w:ascii="Arial" w:hAnsi="Arial" w:cs="Arial"/>
          <w:i w:val="0"/>
          <w:sz w:val="24"/>
          <w:szCs w:val="24"/>
        </w:rPr>
        <w:t>aterial y m</w:t>
      </w:r>
      <w:r w:rsidRPr="00A928FE">
        <w:rPr>
          <w:rStyle w:val="nfasis"/>
          <w:rFonts w:ascii="Arial" w:hAnsi="Arial" w:cs="Arial"/>
          <w:i w:val="0"/>
          <w:sz w:val="24"/>
          <w:szCs w:val="24"/>
        </w:rPr>
        <w:t xml:space="preserve">étodo: Se realizó un estudio observacional, descriptivo y transversal, que incluyó pacientes </w:t>
      </w:r>
      <w:r w:rsidR="00280E92" w:rsidRPr="00A928FE">
        <w:rPr>
          <w:rStyle w:val="nfasis"/>
          <w:rFonts w:ascii="Arial" w:hAnsi="Arial" w:cs="Arial"/>
          <w:i w:val="0"/>
          <w:sz w:val="24"/>
          <w:szCs w:val="24"/>
        </w:rPr>
        <w:t xml:space="preserve">ambulatorios </w:t>
      </w:r>
      <w:r w:rsidRPr="00A928FE">
        <w:rPr>
          <w:rStyle w:val="nfasis"/>
          <w:rFonts w:ascii="Arial" w:hAnsi="Arial" w:cs="Arial"/>
          <w:i w:val="0"/>
          <w:sz w:val="24"/>
          <w:szCs w:val="24"/>
        </w:rPr>
        <w:t xml:space="preserve">mayores de 60 años de edad, </w:t>
      </w:r>
      <w:r w:rsidR="00280E92" w:rsidRPr="00A928FE">
        <w:rPr>
          <w:rStyle w:val="nfasis"/>
          <w:rFonts w:ascii="Arial" w:hAnsi="Arial" w:cs="Arial"/>
          <w:i w:val="0"/>
          <w:sz w:val="24"/>
          <w:szCs w:val="24"/>
        </w:rPr>
        <w:t>de ambos sexos</w:t>
      </w:r>
      <w:r w:rsidRPr="00A928FE">
        <w:rPr>
          <w:rStyle w:val="nfasis"/>
          <w:rFonts w:ascii="Arial" w:hAnsi="Arial" w:cs="Arial"/>
          <w:i w:val="0"/>
          <w:sz w:val="24"/>
          <w:szCs w:val="24"/>
        </w:rPr>
        <w:t>, con factores de riesgo conocidos para enfermedad renal crónica durante el año</w:t>
      </w:r>
      <w:r w:rsidR="006516C4">
        <w:rPr>
          <w:rStyle w:val="nfasis"/>
          <w:rFonts w:ascii="Arial" w:hAnsi="Arial" w:cs="Arial"/>
          <w:i w:val="0"/>
          <w:sz w:val="24"/>
          <w:szCs w:val="24"/>
        </w:rPr>
        <w:t xml:space="preserve"> 2022. </w:t>
      </w:r>
      <w:r w:rsidR="007E4298">
        <w:rPr>
          <w:rStyle w:val="nfasis"/>
          <w:rFonts w:ascii="Arial" w:hAnsi="Arial" w:cs="Arial"/>
          <w:i w:val="0"/>
          <w:sz w:val="24"/>
          <w:szCs w:val="24"/>
        </w:rPr>
        <w:t xml:space="preserve">De un universo de 2500, fueron </w:t>
      </w:r>
      <w:r w:rsidR="006516C4">
        <w:rPr>
          <w:rStyle w:val="nfasis"/>
          <w:rFonts w:ascii="Arial" w:hAnsi="Arial" w:cs="Arial"/>
          <w:i w:val="0"/>
          <w:sz w:val="24"/>
          <w:szCs w:val="24"/>
        </w:rPr>
        <w:t xml:space="preserve">procesadas mediante muestreo </w:t>
      </w:r>
      <w:r w:rsidR="007E4298">
        <w:rPr>
          <w:rStyle w:val="nfasis"/>
          <w:rFonts w:ascii="Arial" w:hAnsi="Arial" w:cs="Arial"/>
          <w:i w:val="0"/>
          <w:sz w:val="24"/>
          <w:szCs w:val="24"/>
        </w:rPr>
        <w:t>intencional</w:t>
      </w:r>
      <w:r w:rsidRPr="00A928FE">
        <w:rPr>
          <w:rStyle w:val="nfasis"/>
          <w:rFonts w:ascii="Arial" w:hAnsi="Arial" w:cs="Arial"/>
          <w:i w:val="0"/>
          <w:sz w:val="24"/>
          <w:szCs w:val="24"/>
        </w:rPr>
        <w:t xml:space="preserve"> </w:t>
      </w:r>
      <w:r w:rsidR="00280E92" w:rsidRPr="00A928FE">
        <w:rPr>
          <w:rStyle w:val="nfasis"/>
          <w:rFonts w:ascii="Arial" w:hAnsi="Arial" w:cs="Arial"/>
          <w:i w:val="0"/>
          <w:sz w:val="24"/>
          <w:szCs w:val="24"/>
        </w:rPr>
        <w:t xml:space="preserve">1300 </w:t>
      </w:r>
      <w:r w:rsidRPr="00A928FE">
        <w:rPr>
          <w:rStyle w:val="nfasis"/>
          <w:rFonts w:ascii="Arial" w:hAnsi="Arial" w:cs="Arial"/>
          <w:i w:val="0"/>
          <w:sz w:val="24"/>
          <w:szCs w:val="24"/>
        </w:rPr>
        <w:t xml:space="preserve">muestras de orina </w:t>
      </w:r>
      <w:r w:rsidR="00750C56" w:rsidRPr="00A928FE">
        <w:rPr>
          <w:rStyle w:val="nfasis"/>
          <w:rFonts w:ascii="Arial" w:hAnsi="Arial" w:cs="Arial"/>
          <w:i w:val="0"/>
          <w:sz w:val="24"/>
          <w:szCs w:val="24"/>
        </w:rPr>
        <w:t xml:space="preserve">de pacientes </w:t>
      </w:r>
      <w:r w:rsidRPr="00A928FE">
        <w:rPr>
          <w:rStyle w:val="nfasis"/>
          <w:rFonts w:ascii="Arial" w:hAnsi="Arial" w:cs="Arial"/>
          <w:i w:val="0"/>
          <w:sz w:val="24"/>
          <w:szCs w:val="24"/>
        </w:rPr>
        <w:t xml:space="preserve">recibidas en el laboratorio de Microbiología procedentes del Policlinico Luís Augusto Turcios Lima, para la pesquisa de daño renal. A todas las muestras de orina se les realizó examen de orina y la determinación de </w:t>
      </w:r>
      <w:r w:rsidR="006D3FE3" w:rsidRPr="00A928FE">
        <w:rPr>
          <w:rStyle w:val="nfasis"/>
          <w:rFonts w:ascii="Arial" w:hAnsi="Arial" w:cs="Arial"/>
          <w:i w:val="0"/>
          <w:sz w:val="24"/>
          <w:szCs w:val="24"/>
        </w:rPr>
        <w:t>microalbuminuria</w:t>
      </w:r>
      <w:r w:rsidRPr="00A928FE">
        <w:rPr>
          <w:rStyle w:val="nfasis"/>
          <w:rFonts w:ascii="Arial" w:hAnsi="Arial" w:cs="Arial"/>
          <w:i w:val="0"/>
          <w:sz w:val="24"/>
          <w:szCs w:val="24"/>
        </w:rPr>
        <w:t xml:space="preserve">. Se determinó la </w:t>
      </w:r>
      <w:r w:rsidR="00C44ECB">
        <w:rPr>
          <w:rStyle w:val="nfasis"/>
          <w:rFonts w:ascii="Arial" w:hAnsi="Arial" w:cs="Arial"/>
          <w:i w:val="0"/>
          <w:sz w:val="24"/>
          <w:szCs w:val="24"/>
        </w:rPr>
        <w:t>X, DS,</w:t>
      </w:r>
      <w:r w:rsidR="005A2221">
        <w:rPr>
          <w:rStyle w:val="nfasis"/>
          <w:rFonts w:ascii="Arial" w:hAnsi="Arial" w:cs="Arial"/>
          <w:i w:val="0"/>
          <w:sz w:val="24"/>
          <w:szCs w:val="24"/>
        </w:rPr>
        <w:t xml:space="preserve"> y </w:t>
      </w:r>
      <w:r w:rsidR="00E12611">
        <w:rPr>
          <w:rStyle w:val="nfasis"/>
          <w:rFonts w:ascii="Arial" w:hAnsi="Arial" w:cs="Arial"/>
          <w:i w:val="0"/>
          <w:sz w:val="24"/>
          <w:szCs w:val="24"/>
        </w:rPr>
        <w:t xml:space="preserve">la </w:t>
      </w:r>
      <w:r w:rsidRPr="00A928FE">
        <w:rPr>
          <w:rStyle w:val="nfasis"/>
          <w:rFonts w:ascii="Arial" w:hAnsi="Arial" w:cs="Arial"/>
          <w:i w:val="0"/>
          <w:sz w:val="24"/>
          <w:szCs w:val="24"/>
        </w:rPr>
        <w:t xml:space="preserve">fuerza de asociación odds ratio de estas variables y su intervalo de confianza </w:t>
      </w:r>
      <w:r w:rsidRPr="00A928FE">
        <w:rPr>
          <w:rStyle w:val="nfasis"/>
          <w:rFonts w:ascii="Arial" w:hAnsi="Arial" w:cs="Arial"/>
          <w:i w:val="0"/>
          <w:sz w:val="24"/>
          <w:szCs w:val="24"/>
        </w:rPr>
        <w:lastRenderedPageBreak/>
        <w:t xml:space="preserve">del 95% (IC 95%), así como el Chi cuadrado </w:t>
      </w:r>
      <w:r w:rsidR="00C44ECB">
        <w:rPr>
          <w:rStyle w:val="nfasis"/>
          <w:rFonts w:ascii="Arial" w:hAnsi="Arial" w:cs="Arial"/>
          <w:i w:val="0"/>
          <w:sz w:val="24"/>
          <w:szCs w:val="24"/>
        </w:rPr>
        <w:t xml:space="preserve">y el </w:t>
      </w:r>
      <w:r w:rsidR="00C44ECB">
        <w:rPr>
          <w:rFonts w:ascii="Arial" w:hAnsi="Arial" w:cs="Arial"/>
          <w:color w:val="000000"/>
          <w:sz w:val="24"/>
          <w:szCs w:val="24"/>
        </w:rPr>
        <w:t xml:space="preserve">estadígrafo Z </w:t>
      </w:r>
      <w:r w:rsidRPr="00A928FE">
        <w:rPr>
          <w:rStyle w:val="nfasis"/>
          <w:rFonts w:ascii="Arial" w:hAnsi="Arial" w:cs="Arial"/>
          <w:i w:val="0"/>
          <w:sz w:val="24"/>
          <w:szCs w:val="24"/>
        </w:rPr>
        <w:t xml:space="preserve">con un nivel de significación estadística de p &lt; 0,05. Resultados: </w:t>
      </w:r>
      <w:r w:rsidR="0085571F">
        <w:rPr>
          <w:rFonts w:ascii="Arial" w:hAnsi="Arial" w:cs="Arial"/>
          <w:bCs/>
          <w:sz w:val="24"/>
          <w:szCs w:val="24"/>
          <w:lang w:val="es-EC"/>
        </w:rPr>
        <w:t>P</w:t>
      </w:r>
      <w:r w:rsidR="0085571F" w:rsidRPr="00FE51A5">
        <w:rPr>
          <w:rFonts w:ascii="Arial" w:hAnsi="Arial" w:cs="Arial"/>
          <w:bCs/>
          <w:sz w:val="24"/>
          <w:szCs w:val="24"/>
          <w:lang w:val="es-EC"/>
        </w:rPr>
        <w:t>redomino la edad de 60 a 69 años</w:t>
      </w:r>
      <w:r w:rsidR="00053972">
        <w:rPr>
          <w:rFonts w:ascii="Arial" w:hAnsi="Arial" w:cs="Arial"/>
          <w:bCs/>
          <w:sz w:val="24"/>
          <w:szCs w:val="24"/>
          <w:lang w:val="es-EC"/>
        </w:rPr>
        <w:t xml:space="preserve">, a expensas </w:t>
      </w:r>
      <w:r w:rsidR="0085571F">
        <w:rPr>
          <w:rFonts w:ascii="Arial" w:hAnsi="Arial" w:cs="Arial"/>
          <w:bCs/>
          <w:sz w:val="24"/>
          <w:szCs w:val="24"/>
          <w:lang w:val="es-EC"/>
        </w:rPr>
        <w:t>del sexo femenino</w:t>
      </w:r>
      <w:r w:rsidR="00190B1D">
        <w:rPr>
          <w:rFonts w:ascii="Arial" w:hAnsi="Arial" w:cs="Arial"/>
          <w:bCs/>
          <w:sz w:val="24"/>
          <w:szCs w:val="24"/>
          <w:lang w:val="es-EC"/>
        </w:rPr>
        <w:t xml:space="preserve"> y jubilados</w:t>
      </w:r>
      <w:r w:rsidR="0085571F">
        <w:rPr>
          <w:rFonts w:ascii="Arial" w:hAnsi="Arial" w:cs="Arial"/>
          <w:bCs/>
          <w:sz w:val="24"/>
          <w:szCs w:val="24"/>
          <w:lang w:val="es-EC"/>
        </w:rPr>
        <w:t>.</w:t>
      </w:r>
      <w:r w:rsidR="0085571F" w:rsidRPr="00A928FE">
        <w:rPr>
          <w:rStyle w:val="nfasis"/>
          <w:rFonts w:ascii="Arial" w:hAnsi="Arial" w:cs="Arial"/>
          <w:i w:val="0"/>
          <w:sz w:val="24"/>
          <w:szCs w:val="24"/>
        </w:rPr>
        <w:t xml:space="preserve"> </w:t>
      </w:r>
      <w:r w:rsidRPr="00A928FE">
        <w:rPr>
          <w:rStyle w:val="nfasis"/>
          <w:rFonts w:ascii="Arial" w:hAnsi="Arial" w:cs="Arial"/>
          <w:i w:val="0"/>
          <w:sz w:val="24"/>
          <w:szCs w:val="24"/>
        </w:rPr>
        <w:t xml:space="preserve">La microalbuminuria estuvo presente en el </w:t>
      </w:r>
      <w:r w:rsidR="00C44ECB">
        <w:rPr>
          <w:rStyle w:val="nfasis"/>
          <w:rFonts w:ascii="Arial" w:hAnsi="Arial" w:cs="Arial"/>
          <w:i w:val="0"/>
          <w:sz w:val="24"/>
          <w:szCs w:val="24"/>
        </w:rPr>
        <w:t>19</w:t>
      </w:r>
      <w:r w:rsidR="00030722" w:rsidRPr="00A928FE">
        <w:rPr>
          <w:rStyle w:val="nfasis"/>
          <w:rFonts w:ascii="Arial" w:hAnsi="Arial" w:cs="Arial"/>
          <w:i w:val="0"/>
          <w:sz w:val="24"/>
          <w:szCs w:val="24"/>
        </w:rPr>
        <w:t>,4 % de los pacien</w:t>
      </w:r>
      <w:r w:rsidR="00190B1D">
        <w:rPr>
          <w:rStyle w:val="nfasis"/>
          <w:rFonts w:ascii="Arial" w:hAnsi="Arial" w:cs="Arial"/>
          <w:i w:val="0"/>
          <w:sz w:val="24"/>
          <w:szCs w:val="24"/>
        </w:rPr>
        <w:t>tes</w:t>
      </w:r>
      <w:r w:rsidR="00030722" w:rsidRPr="00A928FE">
        <w:rPr>
          <w:rStyle w:val="nfasis"/>
          <w:rFonts w:ascii="Arial" w:hAnsi="Arial" w:cs="Arial"/>
          <w:i w:val="0"/>
          <w:sz w:val="24"/>
          <w:szCs w:val="24"/>
        </w:rPr>
        <w:t>, en el 21,7</w:t>
      </w:r>
      <w:r w:rsidRPr="00A928FE">
        <w:rPr>
          <w:rStyle w:val="nfasis"/>
          <w:rFonts w:ascii="Arial" w:hAnsi="Arial" w:cs="Arial"/>
          <w:i w:val="0"/>
          <w:sz w:val="24"/>
          <w:szCs w:val="24"/>
        </w:rPr>
        <w:t xml:space="preserve"> % de los </w:t>
      </w:r>
      <w:r w:rsidR="0061408C">
        <w:rPr>
          <w:rStyle w:val="nfasis"/>
          <w:rFonts w:ascii="Arial" w:hAnsi="Arial" w:cs="Arial"/>
          <w:i w:val="0"/>
          <w:sz w:val="24"/>
          <w:szCs w:val="24"/>
        </w:rPr>
        <w:t xml:space="preserve">hipertensos y en el 8,6 % de los </w:t>
      </w:r>
      <w:r w:rsidR="00047182">
        <w:rPr>
          <w:rStyle w:val="nfasis"/>
          <w:rFonts w:ascii="Arial" w:hAnsi="Arial" w:cs="Arial"/>
          <w:i w:val="0"/>
          <w:sz w:val="24"/>
          <w:szCs w:val="24"/>
        </w:rPr>
        <w:t>diabéticos</w:t>
      </w:r>
      <w:r w:rsidRPr="00A928FE">
        <w:rPr>
          <w:rStyle w:val="nfasis"/>
          <w:rFonts w:ascii="Arial" w:hAnsi="Arial" w:cs="Arial"/>
          <w:i w:val="0"/>
          <w:sz w:val="24"/>
          <w:szCs w:val="24"/>
        </w:rPr>
        <w:t xml:space="preserve">. </w:t>
      </w:r>
      <w:r w:rsidR="00030722" w:rsidRPr="00A928FE">
        <w:rPr>
          <w:rStyle w:val="nfasis"/>
          <w:rFonts w:ascii="Arial" w:hAnsi="Arial" w:cs="Arial"/>
          <w:i w:val="0"/>
          <w:sz w:val="24"/>
          <w:szCs w:val="24"/>
        </w:rPr>
        <w:t>El antecedente de hiperlipemia, estuvo presente en más de 5 veces</w:t>
      </w:r>
      <w:r w:rsidR="0085571F">
        <w:rPr>
          <w:rStyle w:val="nfasis"/>
          <w:rFonts w:ascii="Arial" w:hAnsi="Arial" w:cs="Arial"/>
          <w:i w:val="0"/>
          <w:sz w:val="24"/>
          <w:szCs w:val="24"/>
        </w:rPr>
        <w:t xml:space="preserve">. </w:t>
      </w:r>
      <w:r w:rsidRPr="00A928FE">
        <w:rPr>
          <w:rStyle w:val="nfasis"/>
          <w:rFonts w:ascii="Arial" w:hAnsi="Arial" w:cs="Arial"/>
          <w:i w:val="0"/>
          <w:sz w:val="24"/>
          <w:szCs w:val="24"/>
        </w:rPr>
        <w:t xml:space="preserve">Conclusiones: La determinación de microalbuminuria tiene gran utilidad como complemento de </w:t>
      </w:r>
      <w:r w:rsidR="00134D57">
        <w:rPr>
          <w:rStyle w:val="nfasis"/>
          <w:rFonts w:ascii="Arial" w:hAnsi="Arial" w:cs="Arial"/>
          <w:i w:val="0"/>
          <w:sz w:val="24"/>
          <w:szCs w:val="24"/>
        </w:rPr>
        <w:t xml:space="preserve">la </w:t>
      </w:r>
      <w:r w:rsidRPr="00A928FE">
        <w:rPr>
          <w:rStyle w:val="nfasis"/>
          <w:rFonts w:ascii="Arial" w:hAnsi="Arial" w:cs="Arial"/>
          <w:i w:val="0"/>
          <w:sz w:val="24"/>
          <w:szCs w:val="24"/>
        </w:rPr>
        <w:t xml:space="preserve">orina y </w:t>
      </w:r>
      <w:r w:rsidR="00134D57">
        <w:rPr>
          <w:rStyle w:val="nfasis"/>
          <w:rFonts w:ascii="Arial" w:hAnsi="Arial" w:cs="Arial"/>
          <w:i w:val="0"/>
          <w:sz w:val="24"/>
          <w:szCs w:val="24"/>
        </w:rPr>
        <w:t xml:space="preserve">es útil en la </w:t>
      </w:r>
      <w:r w:rsidRPr="00A928FE">
        <w:rPr>
          <w:rStyle w:val="nfasis"/>
          <w:rFonts w:ascii="Arial" w:hAnsi="Arial" w:cs="Arial"/>
          <w:i w:val="0"/>
          <w:sz w:val="24"/>
          <w:szCs w:val="24"/>
        </w:rPr>
        <w:t xml:space="preserve">pesquisa </w:t>
      </w:r>
      <w:r w:rsidR="007E4298">
        <w:rPr>
          <w:rStyle w:val="nfasis"/>
          <w:rFonts w:ascii="Arial" w:hAnsi="Arial" w:cs="Arial"/>
          <w:i w:val="0"/>
          <w:sz w:val="24"/>
          <w:szCs w:val="24"/>
        </w:rPr>
        <w:t xml:space="preserve">del </w:t>
      </w:r>
      <w:r w:rsidRPr="00A928FE">
        <w:rPr>
          <w:rStyle w:val="nfasis"/>
          <w:rFonts w:ascii="Arial" w:hAnsi="Arial" w:cs="Arial"/>
          <w:i w:val="0"/>
          <w:sz w:val="24"/>
          <w:szCs w:val="24"/>
        </w:rPr>
        <w:t>daño renal</w:t>
      </w:r>
      <w:r w:rsidR="00134D57">
        <w:rPr>
          <w:rStyle w:val="nfasis"/>
          <w:rFonts w:ascii="Arial" w:hAnsi="Arial" w:cs="Arial"/>
          <w:i w:val="0"/>
          <w:sz w:val="24"/>
          <w:szCs w:val="24"/>
        </w:rPr>
        <w:t xml:space="preserve"> en pacientes con factores de riesgo</w:t>
      </w:r>
      <w:r w:rsidRPr="00A928FE">
        <w:rPr>
          <w:rStyle w:val="nfasis"/>
          <w:rFonts w:ascii="Arial" w:hAnsi="Arial" w:cs="Arial"/>
          <w:i w:val="0"/>
          <w:sz w:val="24"/>
          <w:szCs w:val="24"/>
        </w:rPr>
        <w:t xml:space="preserve">. </w:t>
      </w:r>
    </w:p>
    <w:p w:rsidR="006A7949" w:rsidRDefault="006A7949" w:rsidP="00C6585A">
      <w:pPr>
        <w:spacing w:after="0" w:line="360" w:lineRule="auto"/>
        <w:jc w:val="both"/>
        <w:rPr>
          <w:rStyle w:val="fontstyle01"/>
          <w:rFonts w:ascii="Arial" w:hAnsi="Arial" w:cs="Arial"/>
          <w:b/>
          <w:color w:val="auto"/>
          <w:sz w:val="24"/>
          <w:szCs w:val="24"/>
        </w:rPr>
      </w:pPr>
    </w:p>
    <w:p w:rsidR="00012844" w:rsidRPr="00012844" w:rsidRDefault="006D24A9" w:rsidP="00C6585A">
      <w:pPr>
        <w:spacing w:after="0" w:line="360" w:lineRule="auto"/>
        <w:jc w:val="both"/>
        <w:rPr>
          <w:rStyle w:val="fontstyle01"/>
          <w:rFonts w:ascii="Arial" w:hAnsi="Arial" w:cs="Arial"/>
          <w:color w:val="auto"/>
          <w:sz w:val="24"/>
          <w:szCs w:val="24"/>
        </w:rPr>
      </w:pPr>
      <w:r w:rsidRPr="00E66B35">
        <w:rPr>
          <w:rStyle w:val="fontstyle01"/>
          <w:rFonts w:ascii="Arial" w:hAnsi="Arial" w:cs="Arial"/>
          <w:b/>
          <w:color w:val="auto"/>
          <w:sz w:val="24"/>
          <w:szCs w:val="24"/>
        </w:rPr>
        <w:t>Palabras clave:</w:t>
      </w:r>
      <w:r>
        <w:rPr>
          <w:rStyle w:val="fontstyle01"/>
          <w:rFonts w:ascii="Arial" w:hAnsi="Arial" w:cs="Arial"/>
          <w:color w:val="auto"/>
          <w:sz w:val="24"/>
          <w:szCs w:val="24"/>
        </w:rPr>
        <w:t xml:space="preserve"> Microalbuminuria,</w:t>
      </w:r>
      <w:r w:rsidR="00B1002D" w:rsidRPr="00B1002D">
        <w:rPr>
          <w:rStyle w:val="fontstyle01"/>
          <w:rFonts w:ascii="Arial" w:hAnsi="Arial" w:cs="Arial"/>
          <w:color w:val="auto"/>
          <w:sz w:val="24"/>
          <w:szCs w:val="24"/>
        </w:rPr>
        <w:t xml:space="preserve"> </w:t>
      </w:r>
      <w:r w:rsidR="00B1002D">
        <w:rPr>
          <w:rStyle w:val="fontstyle01"/>
          <w:rFonts w:ascii="Arial" w:hAnsi="Arial" w:cs="Arial"/>
          <w:color w:val="auto"/>
          <w:sz w:val="24"/>
          <w:szCs w:val="24"/>
        </w:rPr>
        <w:t xml:space="preserve">SUMA, </w:t>
      </w:r>
      <w:r>
        <w:rPr>
          <w:rStyle w:val="fontstyle01"/>
          <w:rFonts w:ascii="Arial" w:hAnsi="Arial" w:cs="Arial"/>
          <w:color w:val="auto"/>
          <w:sz w:val="24"/>
          <w:szCs w:val="24"/>
        </w:rPr>
        <w:t xml:space="preserve">enfermedad renal crónica, </w:t>
      </w:r>
      <w:r w:rsidR="00B1002D">
        <w:rPr>
          <w:rStyle w:val="fontstyle01"/>
          <w:rFonts w:ascii="Arial" w:hAnsi="Arial" w:cs="Arial"/>
          <w:color w:val="auto"/>
          <w:sz w:val="24"/>
          <w:szCs w:val="24"/>
        </w:rPr>
        <w:t>h</w:t>
      </w:r>
      <w:r w:rsidR="00B1002D" w:rsidRPr="00E66B35">
        <w:rPr>
          <w:rStyle w:val="fontstyle01"/>
          <w:rFonts w:ascii="Arial" w:hAnsi="Arial" w:cs="Arial"/>
          <w:color w:val="auto"/>
          <w:sz w:val="24"/>
          <w:szCs w:val="24"/>
        </w:rPr>
        <w:t>ipertensión arterial</w:t>
      </w:r>
      <w:r w:rsidR="00B1002D">
        <w:rPr>
          <w:rStyle w:val="fontstyle01"/>
          <w:rFonts w:ascii="Arial" w:hAnsi="Arial" w:cs="Arial"/>
          <w:color w:val="auto"/>
          <w:sz w:val="24"/>
          <w:szCs w:val="24"/>
        </w:rPr>
        <w:t>, diabetes mellitus.</w:t>
      </w:r>
    </w:p>
    <w:p w:rsidR="00012844" w:rsidRDefault="00012844" w:rsidP="00C6585A">
      <w:pPr>
        <w:spacing w:after="0" w:line="360" w:lineRule="auto"/>
        <w:jc w:val="center"/>
        <w:rPr>
          <w:rStyle w:val="fontstyle01"/>
          <w:rFonts w:ascii="Arial" w:hAnsi="Arial" w:cs="Arial"/>
          <w:b/>
          <w:color w:val="auto"/>
          <w:sz w:val="24"/>
          <w:szCs w:val="24"/>
        </w:rPr>
      </w:pPr>
    </w:p>
    <w:p w:rsidR="006D24A9" w:rsidRPr="00012844" w:rsidRDefault="006D24A9" w:rsidP="00C6585A">
      <w:pPr>
        <w:spacing w:after="0" w:line="360" w:lineRule="auto"/>
        <w:rPr>
          <w:rStyle w:val="fontstyle01"/>
          <w:rFonts w:ascii="Arial" w:hAnsi="Arial" w:cs="Arial"/>
          <w:b/>
          <w:caps/>
          <w:color w:val="auto"/>
          <w:sz w:val="24"/>
          <w:szCs w:val="24"/>
        </w:rPr>
      </w:pPr>
      <w:r w:rsidRPr="00012844">
        <w:rPr>
          <w:rStyle w:val="fontstyle01"/>
          <w:rFonts w:ascii="Arial" w:hAnsi="Arial" w:cs="Arial"/>
          <w:b/>
          <w:caps/>
          <w:color w:val="auto"/>
          <w:sz w:val="24"/>
          <w:szCs w:val="24"/>
        </w:rPr>
        <w:t>Introducción</w:t>
      </w:r>
    </w:p>
    <w:p w:rsidR="006D24A9" w:rsidRDefault="006D24A9" w:rsidP="00C6585A">
      <w:pPr>
        <w:spacing w:after="0" w:line="360" w:lineRule="auto"/>
        <w:jc w:val="both"/>
      </w:pPr>
      <w:r w:rsidRPr="00A129B0">
        <w:rPr>
          <w:rFonts w:ascii="Arial" w:eastAsia="Times New Roman" w:hAnsi="Arial" w:cs="Arial"/>
          <w:color w:val="000000"/>
          <w:sz w:val="24"/>
          <w:szCs w:val="24"/>
          <w:lang w:eastAsia="es-ES"/>
        </w:rPr>
        <w:t>Existen una serie de afecciones que lesionan el</w:t>
      </w:r>
      <w:r>
        <w:rPr>
          <w:rFonts w:ascii="Arial" w:eastAsia="Times New Roman" w:hAnsi="Arial" w:cs="Arial"/>
          <w:sz w:val="24"/>
          <w:szCs w:val="24"/>
          <w:lang w:eastAsia="es-ES"/>
        </w:rPr>
        <w:t xml:space="preserve"> </w:t>
      </w:r>
      <w:r w:rsidRPr="00A129B0">
        <w:rPr>
          <w:rStyle w:val="fontstyle01"/>
          <w:rFonts w:ascii="Arial" w:hAnsi="Arial" w:cs="Arial"/>
          <w:color w:val="auto"/>
          <w:sz w:val="24"/>
          <w:szCs w:val="24"/>
        </w:rPr>
        <w:t>glomérulo renal (hipertensión arterial, diabetes mellitus</w:t>
      </w:r>
      <w:r>
        <w:rPr>
          <w:rStyle w:val="fontstyle01"/>
          <w:rFonts w:ascii="Arial" w:hAnsi="Arial" w:cs="Arial"/>
          <w:color w:val="auto"/>
          <w:sz w:val="24"/>
          <w:szCs w:val="24"/>
        </w:rPr>
        <w:t xml:space="preserve">, enfermedad glomerular, etc.) </w:t>
      </w:r>
      <w:r w:rsidRPr="00A129B0">
        <w:rPr>
          <w:rStyle w:val="fontstyle01"/>
          <w:rFonts w:ascii="Arial" w:hAnsi="Arial" w:cs="Arial"/>
          <w:color w:val="auto"/>
          <w:sz w:val="24"/>
          <w:szCs w:val="24"/>
        </w:rPr>
        <w:t>y este daño se manifiesta clínicamente por excreción de albúmina en orina.</w:t>
      </w:r>
      <w:r w:rsidRPr="00CA60AF">
        <w:t xml:space="preserve"> </w:t>
      </w:r>
      <w:r>
        <w:t>L</w:t>
      </w:r>
      <w:r w:rsidRPr="00CA60AF">
        <w:rPr>
          <w:rStyle w:val="fontstyle01"/>
          <w:rFonts w:ascii="Arial" w:hAnsi="Arial" w:cs="Arial"/>
          <w:color w:val="auto"/>
          <w:sz w:val="24"/>
          <w:szCs w:val="24"/>
        </w:rPr>
        <w:t>a presencia en orina de proteínas de bajo pes</w:t>
      </w:r>
      <w:r>
        <w:rPr>
          <w:rStyle w:val="fontstyle01"/>
          <w:rFonts w:ascii="Arial" w:hAnsi="Arial" w:cs="Arial"/>
          <w:color w:val="auto"/>
          <w:sz w:val="24"/>
          <w:szCs w:val="24"/>
        </w:rPr>
        <w:t xml:space="preserve">o molecular (β2-microglobulina, </w:t>
      </w:r>
      <w:r w:rsidRPr="00CA60AF">
        <w:rPr>
          <w:rStyle w:val="fontstyle01"/>
          <w:rFonts w:ascii="Arial" w:hAnsi="Arial" w:cs="Arial"/>
          <w:color w:val="auto"/>
          <w:sz w:val="24"/>
          <w:szCs w:val="24"/>
        </w:rPr>
        <w:t>α1-microglobulina, etc) denota la existencia de enfermedad túbulo-intersticial.</w:t>
      </w:r>
      <w:r w:rsidRPr="00A129B0">
        <w:rPr>
          <w:rStyle w:val="fontstyle01"/>
          <w:rFonts w:ascii="Arial" w:hAnsi="Arial" w:cs="Arial"/>
          <w:color w:val="auto"/>
          <w:sz w:val="24"/>
          <w:szCs w:val="24"/>
        </w:rPr>
        <w:t xml:space="preserve"> </w:t>
      </w:r>
      <w:r>
        <w:rPr>
          <w:rFonts w:ascii="Arial" w:hAnsi="Arial" w:cs="Arial"/>
          <w:color w:val="000000"/>
          <w:sz w:val="24"/>
          <w:szCs w:val="24"/>
        </w:rPr>
        <w:t>Un c</w:t>
      </w:r>
      <w:r w:rsidRPr="008D3BF0">
        <w:rPr>
          <w:rFonts w:ascii="Arial" w:hAnsi="Arial" w:cs="Arial"/>
          <w:color w:val="000000"/>
          <w:sz w:val="24"/>
          <w:szCs w:val="24"/>
        </w:rPr>
        <w:t>ociente alb</w:t>
      </w:r>
      <w:r>
        <w:rPr>
          <w:rFonts w:ascii="Arial" w:hAnsi="Arial" w:cs="Arial"/>
          <w:color w:val="000000"/>
          <w:sz w:val="24"/>
          <w:szCs w:val="24"/>
        </w:rPr>
        <w:t xml:space="preserve">umina/proteína en orina &lt; 0.4, denota </w:t>
      </w:r>
      <w:r w:rsidRPr="008D3BF0">
        <w:rPr>
          <w:rFonts w:ascii="Arial" w:hAnsi="Arial" w:cs="Arial"/>
          <w:color w:val="000000"/>
          <w:sz w:val="24"/>
          <w:szCs w:val="24"/>
        </w:rPr>
        <w:t>proteinuria tubular (no albumina)</w:t>
      </w:r>
      <w:r>
        <w:rPr>
          <w:rFonts w:ascii="Arial" w:hAnsi="Arial" w:cs="Arial"/>
          <w:color w:val="000000"/>
          <w:sz w:val="24"/>
          <w:szCs w:val="24"/>
        </w:rPr>
        <w:t>.</w:t>
      </w:r>
      <w:r w:rsidRPr="008D3BF0">
        <w:t xml:space="preserve"> </w:t>
      </w:r>
      <w:r w:rsidR="00AB4DFD">
        <w:rPr>
          <w:vertAlign w:val="superscript"/>
        </w:rPr>
        <w:t>(</w:t>
      </w:r>
      <w:r w:rsidRPr="00AA4931">
        <w:rPr>
          <w:rFonts w:ascii="Arial" w:hAnsi="Arial" w:cs="Arial"/>
          <w:sz w:val="24"/>
          <w:szCs w:val="24"/>
          <w:vertAlign w:val="superscript"/>
        </w:rPr>
        <w:t>1-3</w:t>
      </w:r>
      <w:r w:rsidR="00AB4DFD">
        <w:rPr>
          <w:rFonts w:ascii="Arial" w:hAnsi="Arial" w:cs="Arial"/>
          <w:sz w:val="24"/>
          <w:szCs w:val="24"/>
          <w:vertAlign w:val="superscript"/>
        </w:rPr>
        <w:t>)</w:t>
      </w:r>
    </w:p>
    <w:p w:rsidR="006D24A9" w:rsidRPr="00A129B0" w:rsidRDefault="006D24A9" w:rsidP="00C6585A">
      <w:pPr>
        <w:spacing w:after="0" w:line="360" w:lineRule="auto"/>
        <w:jc w:val="both"/>
        <w:rPr>
          <w:rStyle w:val="fontstyle01"/>
          <w:rFonts w:ascii="Arial" w:hAnsi="Arial" w:cs="Arial"/>
          <w:color w:val="auto"/>
          <w:sz w:val="24"/>
          <w:szCs w:val="24"/>
        </w:rPr>
      </w:pPr>
      <w:r w:rsidRPr="00A129B0">
        <w:rPr>
          <w:rStyle w:val="fontstyle01"/>
          <w:rFonts w:ascii="Arial" w:hAnsi="Arial" w:cs="Arial"/>
          <w:color w:val="auto"/>
          <w:sz w:val="24"/>
          <w:szCs w:val="24"/>
        </w:rPr>
        <w:t>La determinación de microalbuminuria resulta fundamental</w:t>
      </w:r>
      <w:r>
        <w:rPr>
          <w:rStyle w:val="fontstyle01"/>
          <w:rFonts w:ascii="Arial" w:eastAsia="Times New Roman" w:hAnsi="Arial" w:cs="Arial"/>
          <w:color w:val="auto"/>
          <w:sz w:val="24"/>
          <w:szCs w:val="24"/>
          <w:lang w:eastAsia="es-ES"/>
        </w:rPr>
        <w:t xml:space="preserve"> </w:t>
      </w:r>
      <w:r w:rsidRPr="00A129B0">
        <w:rPr>
          <w:rStyle w:val="fontstyle01"/>
          <w:rFonts w:ascii="Arial" w:hAnsi="Arial" w:cs="Arial"/>
          <w:color w:val="auto"/>
          <w:sz w:val="24"/>
          <w:szCs w:val="24"/>
        </w:rPr>
        <w:t>para detectar a los pacientes con riesgo de desarrollar lesión del glomérulo renal en una etapa en</w:t>
      </w:r>
      <w:r>
        <w:rPr>
          <w:rStyle w:val="fontstyle01"/>
          <w:rFonts w:ascii="Arial" w:hAnsi="Arial" w:cs="Arial"/>
          <w:color w:val="auto"/>
          <w:sz w:val="24"/>
          <w:szCs w:val="24"/>
        </w:rPr>
        <w:t xml:space="preserve"> </w:t>
      </w:r>
      <w:r w:rsidRPr="00A129B0">
        <w:rPr>
          <w:rStyle w:val="fontstyle01"/>
          <w:rFonts w:ascii="Arial" w:hAnsi="Arial" w:cs="Arial"/>
          <w:color w:val="auto"/>
          <w:sz w:val="24"/>
          <w:szCs w:val="24"/>
        </w:rPr>
        <w:t>la cual todavía no existen evidencias clínicas de neuropatía; así, si se implementan medidas terapéuticas adecuadas, se pueden evitar las complicaciones.</w:t>
      </w:r>
      <w:r w:rsidRPr="003E0CFC">
        <w:rPr>
          <w:rStyle w:val="fontstyle01"/>
          <w:rFonts w:ascii="Arial" w:hAnsi="Arial" w:cs="Arial"/>
          <w:color w:val="auto"/>
          <w:sz w:val="24"/>
          <w:szCs w:val="24"/>
          <w:vertAlign w:val="superscript"/>
        </w:rPr>
        <w:t xml:space="preserve">1 </w:t>
      </w:r>
      <w:r w:rsidRPr="00A129B0">
        <w:rPr>
          <w:rStyle w:val="fontstyle01"/>
          <w:rFonts w:ascii="Arial" w:hAnsi="Arial" w:cs="Arial"/>
          <w:color w:val="auto"/>
          <w:sz w:val="24"/>
          <w:szCs w:val="24"/>
        </w:rPr>
        <w:t>La duració</w:t>
      </w:r>
      <w:r>
        <w:rPr>
          <w:rStyle w:val="fontstyle01"/>
          <w:rFonts w:ascii="Arial" w:hAnsi="Arial" w:cs="Arial"/>
          <w:color w:val="auto"/>
          <w:sz w:val="24"/>
          <w:szCs w:val="24"/>
        </w:rPr>
        <w:t xml:space="preserve">n media entre el diagnóstico de </w:t>
      </w:r>
      <w:r w:rsidRPr="00A129B0">
        <w:rPr>
          <w:rStyle w:val="fontstyle01"/>
          <w:rFonts w:ascii="Arial" w:hAnsi="Arial" w:cs="Arial"/>
          <w:color w:val="auto"/>
          <w:sz w:val="24"/>
          <w:szCs w:val="24"/>
        </w:rPr>
        <w:t xml:space="preserve">microalbuminuria y la nefropatía clínica ha sido reportada en siete años </w:t>
      </w:r>
      <w:r>
        <w:rPr>
          <w:rStyle w:val="fontstyle01"/>
          <w:rFonts w:ascii="Arial" w:hAnsi="Arial" w:cs="Arial"/>
          <w:color w:val="auto"/>
          <w:sz w:val="24"/>
          <w:szCs w:val="24"/>
        </w:rPr>
        <w:t xml:space="preserve">para la diabetes tipo I y entre </w:t>
      </w:r>
      <w:r w:rsidRPr="00A129B0">
        <w:rPr>
          <w:rStyle w:val="fontstyle01"/>
          <w:rFonts w:ascii="Arial" w:hAnsi="Arial" w:cs="Arial"/>
          <w:color w:val="auto"/>
          <w:sz w:val="24"/>
          <w:szCs w:val="24"/>
        </w:rPr>
        <w:t>nueve y 10 años para la diabetes tipo II.</w:t>
      </w:r>
      <w:r w:rsidR="00AB4DFD">
        <w:rPr>
          <w:rStyle w:val="fontstyle01"/>
          <w:rFonts w:ascii="Arial" w:hAnsi="Arial" w:cs="Arial"/>
          <w:color w:val="auto"/>
          <w:sz w:val="24"/>
          <w:szCs w:val="24"/>
          <w:vertAlign w:val="superscript"/>
        </w:rPr>
        <w:t>(</w:t>
      </w:r>
      <w:r>
        <w:rPr>
          <w:rStyle w:val="fontstyle01"/>
          <w:rFonts w:ascii="Arial" w:hAnsi="Arial" w:cs="Arial"/>
          <w:color w:val="auto"/>
          <w:sz w:val="24"/>
          <w:szCs w:val="24"/>
          <w:vertAlign w:val="superscript"/>
        </w:rPr>
        <w:t>4-6</w:t>
      </w:r>
      <w:r w:rsidR="00AB4DFD">
        <w:rPr>
          <w:rStyle w:val="fontstyle01"/>
          <w:rFonts w:ascii="Arial" w:hAnsi="Arial" w:cs="Arial"/>
          <w:color w:val="auto"/>
          <w:sz w:val="24"/>
          <w:szCs w:val="24"/>
          <w:vertAlign w:val="superscript"/>
        </w:rPr>
        <w:t>)</w:t>
      </w:r>
    </w:p>
    <w:p w:rsidR="006D24A9" w:rsidRPr="006F2138" w:rsidRDefault="006D24A9" w:rsidP="00C6585A">
      <w:pPr>
        <w:autoSpaceDE w:val="0"/>
        <w:autoSpaceDN w:val="0"/>
        <w:adjustRightInd w:val="0"/>
        <w:spacing w:after="0" w:line="360" w:lineRule="auto"/>
        <w:jc w:val="both"/>
        <w:rPr>
          <w:rFonts w:ascii="Arial" w:eastAsia="Calibri" w:hAnsi="Arial" w:cs="Arial"/>
          <w:color w:val="000000"/>
          <w:sz w:val="24"/>
          <w:szCs w:val="24"/>
          <w:vertAlign w:val="superscript"/>
          <w:lang w:val="es-EC"/>
        </w:rPr>
      </w:pPr>
      <w:r>
        <w:rPr>
          <w:rFonts w:ascii="Arial" w:eastAsia="Calibri" w:hAnsi="Arial" w:cs="Arial"/>
          <w:sz w:val="24"/>
          <w:szCs w:val="24"/>
          <w:lang w:val="es-EC"/>
        </w:rPr>
        <w:t xml:space="preserve">La </w:t>
      </w:r>
      <w:r w:rsidRPr="00F764BC">
        <w:rPr>
          <w:rFonts w:ascii="Arial" w:eastAsia="Calibri" w:hAnsi="Arial" w:cs="Arial"/>
          <w:color w:val="000000"/>
          <w:sz w:val="24"/>
          <w:szCs w:val="24"/>
          <w:lang w:val="es-EC"/>
        </w:rPr>
        <w:t xml:space="preserve">presencia de concentraciones elevadas de proteína o albúmina en orina, en dos o más ocasiones durante un período igual o superior a tres meses, es un signo de lesión renal y constituye, junto con la estimación del FG, la base sobre la que se sustenta el diagnóstico de </w:t>
      </w:r>
      <w:r w:rsidR="00FB528A">
        <w:rPr>
          <w:rFonts w:ascii="Arial" w:eastAsia="Calibri" w:hAnsi="Arial" w:cs="Arial"/>
          <w:color w:val="000000"/>
          <w:sz w:val="24"/>
          <w:szCs w:val="24"/>
          <w:lang w:val="es-EC"/>
        </w:rPr>
        <w:t>enfermedad renal crónica (</w:t>
      </w:r>
      <w:r w:rsidRPr="00F764BC">
        <w:rPr>
          <w:rFonts w:ascii="Arial" w:eastAsia="Calibri" w:hAnsi="Arial" w:cs="Arial"/>
          <w:color w:val="000000"/>
          <w:sz w:val="24"/>
          <w:szCs w:val="24"/>
          <w:lang w:val="es-EC"/>
        </w:rPr>
        <w:t>ERC</w:t>
      </w:r>
      <w:r w:rsidR="00FB528A">
        <w:rPr>
          <w:rFonts w:ascii="Arial" w:eastAsia="Calibri" w:hAnsi="Arial" w:cs="Arial"/>
          <w:color w:val="000000"/>
          <w:sz w:val="24"/>
          <w:szCs w:val="24"/>
          <w:lang w:val="es-EC"/>
        </w:rPr>
        <w:t>)</w:t>
      </w:r>
      <w:r w:rsidRPr="00F764BC">
        <w:rPr>
          <w:rFonts w:ascii="Arial" w:eastAsia="Calibri" w:hAnsi="Arial" w:cs="Arial"/>
          <w:color w:val="000000"/>
          <w:sz w:val="24"/>
          <w:szCs w:val="24"/>
          <w:lang w:val="es-EC"/>
        </w:rPr>
        <w:t xml:space="preserve">. </w:t>
      </w:r>
      <w:r w:rsidR="00AB4DFD">
        <w:rPr>
          <w:rFonts w:ascii="Arial" w:eastAsia="Calibri" w:hAnsi="Arial" w:cs="Arial"/>
          <w:color w:val="000000"/>
          <w:sz w:val="24"/>
          <w:szCs w:val="24"/>
          <w:vertAlign w:val="superscript"/>
          <w:lang w:val="es-EC"/>
        </w:rPr>
        <w:t>(</w:t>
      </w:r>
      <w:r>
        <w:rPr>
          <w:rFonts w:ascii="Arial" w:eastAsia="Calibri" w:hAnsi="Arial" w:cs="Arial"/>
          <w:color w:val="000000"/>
          <w:sz w:val="24"/>
          <w:szCs w:val="24"/>
          <w:vertAlign w:val="superscript"/>
          <w:lang w:val="es-EC"/>
        </w:rPr>
        <w:t>7-10</w:t>
      </w:r>
      <w:r w:rsidR="00AB4DFD">
        <w:rPr>
          <w:rFonts w:ascii="Arial" w:eastAsia="Calibri" w:hAnsi="Arial" w:cs="Arial"/>
          <w:color w:val="000000"/>
          <w:sz w:val="24"/>
          <w:szCs w:val="24"/>
          <w:vertAlign w:val="superscript"/>
          <w:lang w:val="es-EC"/>
        </w:rPr>
        <w:t>)</w:t>
      </w:r>
    </w:p>
    <w:p w:rsidR="006D24A9" w:rsidRPr="006F2138" w:rsidRDefault="006D24A9" w:rsidP="00C6585A">
      <w:pPr>
        <w:autoSpaceDE w:val="0"/>
        <w:autoSpaceDN w:val="0"/>
        <w:adjustRightInd w:val="0"/>
        <w:spacing w:after="0" w:line="360" w:lineRule="auto"/>
        <w:jc w:val="both"/>
        <w:rPr>
          <w:rFonts w:ascii="Arial" w:eastAsia="Calibri" w:hAnsi="Arial" w:cs="Arial"/>
          <w:sz w:val="24"/>
          <w:szCs w:val="24"/>
          <w:vertAlign w:val="superscript"/>
          <w:lang w:val="es-EC"/>
        </w:rPr>
      </w:pPr>
      <w:r w:rsidRPr="00F764BC">
        <w:rPr>
          <w:rFonts w:ascii="Arial" w:eastAsia="Calibri" w:hAnsi="Arial" w:cs="Arial"/>
          <w:color w:val="000000"/>
          <w:sz w:val="24"/>
          <w:szCs w:val="24"/>
          <w:lang w:val="es-EC"/>
        </w:rPr>
        <w:t xml:space="preserve">La detección y monitorización de proteína y/o albúmina en orina debe estar basada en una medida cuantitativa, utilizando métodos de laboratorio como: </w:t>
      </w:r>
      <w:r w:rsidRPr="00F764BC">
        <w:rPr>
          <w:rFonts w:ascii="Arial" w:eastAsia="Calibri" w:hAnsi="Arial" w:cs="Arial"/>
          <w:color w:val="000000"/>
          <w:sz w:val="24"/>
          <w:szCs w:val="24"/>
          <w:lang w:val="es-EC"/>
        </w:rPr>
        <w:lastRenderedPageBreak/>
        <w:t>radioinmunoa</w:t>
      </w:r>
      <w:r w:rsidR="00773511">
        <w:rPr>
          <w:rFonts w:ascii="Arial" w:eastAsia="Calibri" w:hAnsi="Arial" w:cs="Arial"/>
          <w:color w:val="000000"/>
          <w:sz w:val="24"/>
          <w:szCs w:val="24"/>
          <w:lang w:val="es-EC"/>
        </w:rPr>
        <w:t xml:space="preserve">nálisis, inmunoturbidometría, </w:t>
      </w:r>
      <w:r w:rsidR="002B7245">
        <w:rPr>
          <w:rFonts w:ascii="Arial" w:eastAsia="Calibri" w:hAnsi="Arial" w:cs="Arial"/>
          <w:color w:val="000000"/>
          <w:sz w:val="24"/>
          <w:szCs w:val="24"/>
          <w:lang w:val="es-EC"/>
        </w:rPr>
        <w:t>ELISA (</w:t>
      </w:r>
      <w:r w:rsidR="00A52014" w:rsidRPr="00F764BC">
        <w:rPr>
          <w:rFonts w:ascii="Arial" w:eastAsia="Calibri" w:hAnsi="Arial" w:cs="Arial"/>
          <w:color w:val="000000"/>
          <w:sz w:val="24"/>
          <w:szCs w:val="24"/>
          <w:lang w:val="es-EC"/>
        </w:rPr>
        <w:t>Enzimoin</w:t>
      </w:r>
      <w:r w:rsidR="00A52014">
        <w:rPr>
          <w:rFonts w:ascii="Arial" w:eastAsia="Calibri" w:hAnsi="Arial" w:cs="Arial"/>
          <w:color w:val="000000"/>
          <w:sz w:val="24"/>
          <w:szCs w:val="24"/>
          <w:lang w:val="es-EC"/>
        </w:rPr>
        <w:t>munoanàlisis</w:t>
      </w:r>
      <w:r w:rsidR="002B7245">
        <w:rPr>
          <w:rFonts w:ascii="Arial" w:eastAsia="Calibri" w:hAnsi="Arial" w:cs="Arial"/>
          <w:color w:val="000000"/>
          <w:sz w:val="24"/>
          <w:szCs w:val="24"/>
          <w:lang w:val="es-EC"/>
        </w:rPr>
        <w:t xml:space="preserve"> de absorción</w:t>
      </w:r>
      <w:r w:rsidRPr="00F764BC">
        <w:rPr>
          <w:rFonts w:ascii="Arial" w:eastAsia="Calibri" w:hAnsi="Arial" w:cs="Arial"/>
          <w:color w:val="000000"/>
          <w:sz w:val="24"/>
          <w:szCs w:val="24"/>
          <w:lang w:val="es-EC"/>
        </w:rPr>
        <w:t>)</w:t>
      </w:r>
      <w:r w:rsidR="002B7245" w:rsidRPr="002B7245">
        <w:rPr>
          <w:rStyle w:val="fontstyle01"/>
          <w:rFonts w:ascii="Arial" w:hAnsi="Arial" w:cs="Arial"/>
          <w:color w:val="auto"/>
          <w:sz w:val="24"/>
          <w:szCs w:val="24"/>
        </w:rPr>
        <w:t xml:space="preserve"> </w:t>
      </w:r>
      <w:r w:rsidR="002B7245">
        <w:rPr>
          <w:rStyle w:val="fontstyle01"/>
          <w:rFonts w:ascii="Arial" w:hAnsi="Arial" w:cs="Arial"/>
          <w:color w:val="auto"/>
          <w:sz w:val="24"/>
          <w:szCs w:val="24"/>
        </w:rPr>
        <w:t>y SUMA (Sistema ultramicroanálitico) empleando Umelisa</w:t>
      </w:r>
      <w:r w:rsidR="00526343">
        <w:rPr>
          <w:rFonts w:ascii="Calibri" w:eastAsia="Calibri" w:hAnsi="Calibri" w:cs="Times New Roman"/>
          <w:lang w:val="es-EC"/>
        </w:rPr>
        <w:t>.</w:t>
      </w:r>
      <w:r w:rsidR="00AB4DFD">
        <w:rPr>
          <w:rFonts w:ascii="Calibri" w:eastAsia="Calibri" w:hAnsi="Calibri" w:cs="Times New Roman"/>
          <w:lang w:val="es-EC"/>
        </w:rPr>
        <w:t xml:space="preserve"> </w:t>
      </w:r>
      <w:r w:rsidR="00AB4DFD">
        <w:rPr>
          <w:rFonts w:ascii="Calibri" w:eastAsia="Calibri" w:hAnsi="Calibri" w:cs="Times New Roman"/>
          <w:vertAlign w:val="superscript"/>
          <w:lang w:val="es-EC"/>
        </w:rPr>
        <w:t>(</w:t>
      </w:r>
      <w:r>
        <w:rPr>
          <w:rFonts w:ascii="Arial" w:eastAsia="Calibri" w:hAnsi="Arial" w:cs="Arial"/>
          <w:color w:val="000000"/>
          <w:sz w:val="24"/>
          <w:szCs w:val="24"/>
          <w:vertAlign w:val="superscript"/>
          <w:lang w:val="es-EC"/>
        </w:rPr>
        <w:t>11-13</w:t>
      </w:r>
      <w:r w:rsidR="00AB4DFD">
        <w:rPr>
          <w:rFonts w:ascii="Arial" w:eastAsia="Calibri" w:hAnsi="Arial" w:cs="Arial"/>
          <w:color w:val="000000"/>
          <w:sz w:val="24"/>
          <w:szCs w:val="24"/>
          <w:vertAlign w:val="superscript"/>
          <w:lang w:val="es-EC"/>
        </w:rPr>
        <w:t>)</w:t>
      </w:r>
    </w:p>
    <w:p w:rsidR="006D24A9" w:rsidRPr="00773511" w:rsidRDefault="00FB528A" w:rsidP="00C6585A">
      <w:pPr>
        <w:pStyle w:val="Default"/>
        <w:spacing w:line="360" w:lineRule="auto"/>
        <w:jc w:val="both"/>
        <w:rPr>
          <w:rFonts w:ascii="Arial" w:hAnsi="Arial" w:cs="Arial"/>
        </w:rPr>
      </w:pPr>
      <w:r w:rsidRPr="00FB528A">
        <w:rPr>
          <w:rFonts w:ascii="Arial" w:eastAsia="Calibri" w:hAnsi="Arial" w:cs="Arial"/>
          <w:color w:val="auto"/>
        </w:rPr>
        <w:t>En el municipio de Pinar del Río la prevalencia de ERC es elevada, lo cual constituye además una de las principales causas de muerte</w:t>
      </w:r>
      <w:r>
        <w:rPr>
          <w:rFonts w:ascii="Arial" w:eastAsia="Calibri" w:hAnsi="Arial" w:cs="Arial"/>
          <w:color w:val="auto"/>
        </w:rPr>
        <w:t xml:space="preserve">,  encontrándose dentro de sus principales </w:t>
      </w:r>
      <w:r w:rsidR="00773511">
        <w:rPr>
          <w:rFonts w:ascii="Arial" w:hAnsi="Arial" w:cs="Arial"/>
        </w:rPr>
        <w:t xml:space="preserve">factores de riesgo: </w:t>
      </w:r>
      <w:r>
        <w:rPr>
          <w:rFonts w:ascii="Arial" w:hAnsi="Arial" w:cs="Arial"/>
        </w:rPr>
        <w:t xml:space="preserve">la edad mayor de </w:t>
      </w:r>
      <w:r w:rsidR="00773511">
        <w:rPr>
          <w:rFonts w:ascii="Arial" w:hAnsi="Arial" w:cs="Arial"/>
        </w:rPr>
        <w:t xml:space="preserve">60 años, </w:t>
      </w:r>
      <w:r w:rsidR="00227BF1">
        <w:rPr>
          <w:rFonts w:ascii="Arial" w:hAnsi="Arial" w:cs="Arial"/>
        </w:rPr>
        <w:t xml:space="preserve">género masculino, </w:t>
      </w:r>
      <w:r w:rsidR="00773511">
        <w:rPr>
          <w:rFonts w:ascii="Arial" w:hAnsi="Arial" w:cs="Arial"/>
        </w:rPr>
        <w:t>diabéticos</w:t>
      </w:r>
      <w:r w:rsidR="00A105F9" w:rsidRPr="00A3576D">
        <w:rPr>
          <w:rFonts w:ascii="Arial" w:hAnsi="Arial" w:cs="Arial"/>
        </w:rPr>
        <w:t xml:space="preserve">, </w:t>
      </w:r>
      <w:r w:rsidR="00773511">
        <w:rPr>
          <w:rFonts w:ascii="Arial" w:hAnsi="Arial" w:cs="Arial"/>
        </w:rPr>
        <w:t>hipertensos, enfermos</w:t>
      </w:r>
      <w:r w:rsidR="00B63C1C">
        <w:rPr>
          <w:rFonts w:ascii="Arial" w:hAnsi="Arial" w:cs="Arial"/>
        </w:rPr>
        <w:t xml:space="preserve"> cardiovasculares</w:t>
      </w:r>
      <w:r w:rsidR="00773511">
        <w:rPr>
          <w:rFonts w:ascii="Arial" w:hAnsi="Arial" w:cs="Arial"/>
        </w:rPr>
        <w:t>, obesos</w:t>
      </w:r>
      <w:r w:rsidR="00A105F9" w:rsidRPr="00A3576D">
        <w:rPr>
          <w:rFonts w:ascii="Arial" w:hAnsi="Arial" w:cs="Arial"/>
        </w:rPr>
        <w:t xml:space="preserve">, </w:t>
      </w:r>
      <w:r w:rsidR="009075FC">
        <w:rPr>
          <w:rFonts w:ascii="Arial" w:hAnsi="Arial" w:cs="Arial"/>
        </w:rPr>
        <w:t>hiperlipidemia</w:t>
      </w:r>
      <w:r w:rsidR="00773511">
        <w:rPr>
          <w:rFonts w:ascii="Arial" w:hAnsi="Arial" w:cs="Arial"/>
        </w:rPr>
        <w:t>, fumadores</w:t>
      </w:r>
      <w:r w:rsidR="009075FC">
        <w:rPr>
          <w:rFonts w:ascii="Arial" w:hAnsi="Arial" w:cs="Arial"/>
        </w:rPr>
        <w:t xml:space="preserve">, consumidores de alcohol, </w:t>
      </w:r>
      <w:r w:rsidR="00773511">
        <w:rPr>
          <w:rFonts w:ascii="Arial" w:hAnsi="Arial" w:cs="Arial"/>
        </w:rPr>
        <w:t>con antecedentes familiares de ERC</w:t>
      </w:r>
      <w:r w:rsidR="009075FC">
        <w:rPr>
          <w:rFonts w:ascii="Arial" w:hAnsi="Arial" w:cs="Arial"/>
        </w:rPr>
        <w:t>, etc</w:t>
      </w:r>
      <w:r w:rsidR="00A105F9" w:rsidRPr="00A3576D">
        <w:rPr>
          <w:rFonts w:ascii="Arial" w:hAnsi="Arial" w:cs="Arial"/>
        </w:rPr>
        <w:t>.</w:t>
      </w:r>
      <w:r w:rsidR="00F45F69">
        <w:rPr>
          <w:rFonts w:ascii="Arial" w:hAnsi="Arial" w:cs="Arial"/>
        </w:rPr>
        <w:t xml:space="preserve"> </w:t>
      </w:r>
      <w:r w:rsidR="00AB4DFD">
        <w:rPr>
          <w:rFonts w:ascii="Arial" w:hAnsi="Arial" w:cs="Arial"/>
          <w:vertAlign w:val="superscript"/>
        </w:rPr>
        <w:t>(</w:t>
      </w:r>
      <w:r w:rsidR="006D24A9">
        <w:rPr>
          <w:rFonts w:ascii="Arial" w:eastAsia="Calibri" w:hAnsi="Arial" w:cs="Arial"/>
          <w:vertAlign w:val="superscript"/>
        </w:rPr>
        <w:t>14-16</w:t>
      </w:r>
      <w:r w:rsidR="00AB4DFD">
        <w:rPr>
          <w:rFonts w:ascii="Arial" w:eastAsia="Calibri" w:hAnsi="Arial" w:cs="Arial"/>
          <w:vertAlign w:val="superscript"/>
        </w:rPr>
        <w:t>)</w:t>
      </w:r>
    </w:p>
    <w:p w:rsidR="0011671E" w:rsidRPr="00262BFF" w:rsidRDefault="00426590" w:rsidP="00C6585A">
      <w:pPr>
        <w:spacing w:after="0" w:line="360" w:lineRule="auto"/>
        <w:jc w:val="both"/>
        <w:rPr>
          <w:rStyle w:val="fontstyle01"/>
          <w:rFonts w:ascii="Arial" w:hAnsi="Arial" w:cs="Arial"/>
          <w:color w:val="auto"/>
          <w:sz w:val="24"/>
          <w:szCs w:val="24"/>
        </w:rPr>
      </w:pPr>
      <w:r>
        <w:rPr>
          <w:rStyle w:val="fontstyle01"/>
          <w:rFonts w:ascii="Arial" w:hAnsi="Arial" w:cs="Arial"/>
          <w:color w:val="auto"/>
          <w:sz w:val="24"/>
          <w:szCs w:val="24"/>
        </w:rPr>
        <w:t xml:space="preserve">Por todo lo anterior, el </w:t>
      </w:r>
      <w:r w:rsidR="006D24A9" w:rsidRPr="006162F2">
        <w:rPr>
          <w:rStyle w:val="fontstyle01"/>
          <w:rFonts w:ascii="Arial" w:hAnsi="Arial" w:cs="Arial"/>
          <w:color w:val="auto"/>
          <w:sz w:val="24"/>
          <w:szCs w:val="24"/>
        </w:rPr>
        <w:t>objetivo de este estudio fue demostrar la utilidad de la de</w:t>
      </w:r>
      <w:r w:rsidR="006D24A9">
        <w:rPr>
          <w:rStyle w:val="fontstyle01"/>
          <w:rFonts w:ascii="Arial" w:hAnsi="Arial" w:cs="Arial"/>
          <w:color w:val="auto"/>
          <w:sz w:val="24"/>
          <w:szCs w:val="24"/>
        </w:rPr>
        <w:t xml:space="preserve">terminación de microalbuminuria </w:t>
      </w:r>
      <w:r w:rsidR="006D24A9" w:rsidRPr="006162F2">
        <w:rPr>
          <w:rStyle w:val="fontstyle01"/>
          <w:rFonts w:ascii="Arial" w:hAnsi="Arial" w:cs="Arial"/>
          <w:color w:val="auto"/>
          <w:sz w:val="24"/>
          <w:szCs w:val="24"/>
        </w:rPr>
        <w:t xml:space="preserve">mediante </w:t>
      </w:r>
      <w:r w:rsidR="006D24A9">
        <w:rPr>
          <w:rStyle w:val="fontstyle01"/>
          <w:rFonts w:ascii="Arial" w:hAnsi="Arial" w:cs="Arial"/>
          <w:color w:val="auto"/>
          <w:sz w:val="24"/>
          <w:szCs w:val="24"/>
        </w:rPr>
        <w:t>SUMA (Sistema ultramicroanálitico) empleando Umelisa para l</w:t>
      </w:r>
      <w:r w:rsidR="006D24A9" w:rsidRPr="006162F2">
        <w:rPr>
          <w:rStyle w:val="fontstyle01"/>
          <w:rFonts w:ascii="Arial" w:hAnsi="Arial" w:cs="Arial"/>
          <w:color w:val="auto"/>
          <w:sz w:val="24"/>
          <w:szCs w:val="24"/>
        </w:rPr>
        <w:t>a de</w:t>
      </w:r>
      <w:r w:rsidR="002B7245">
        <w:rPr>
          <w:rStyle w:val="fontstyle01"/>
          <w:rFonts w:ascii="Arial" w:hAnsi="Arial" w:cs="Arial"/>
          <w:color w:val="auto"/>
          <w:sz w:val="24"/>
          <w:szCs w:val="24"/>
        </w:rPr>
        <w:t>tección temprana del daño renal</w:t>
      </w:r>
      <w:r w:rsidR="00773511">
        <w:rPr>
          <w:rStyle w:val="fontstyle01"/>
          <w:rFonts w:ascii="Arial" w:hAnsi="Arial" w:cs="Arial"/>
          <w:color w:val="auto"/>
          <w:sz w:val="24"/>
          <w:szCs w:val="24"/>
        </w:rPr>
        <w:t xml:space="preserve"> en pacientes con factores de riesgo para la ERC</w:t>
      </w:r>
      <w:r w:rsidR="002B7245">
        <w:rPr>
          <w:rStyle w:val="fontstyle01"/>
          <w:rFonts w:ascii="Arial" w:hAnsi="Arial" w:cs="Arial"/>
          <w:color w:val="auto"/>
          <w:sz w:val="24"/>
          <w:szCs w:val="24"/>
        </w:rPr>
        <w:t>.</w:t>
      </w:r>
    </w:p>
    <w:p w:rsidR="00FB528A" w:rsidRPr="00012844" w:rsidRDefault="00FB528A" w:rsidP="00C6585A">
      <w:pPr>
        <w:spacing w:after="0" w:line="360" w:lineRule="auto"/>
        <w:rPr>
          <w:rStyle w:val="fontstyle01"/>
          <w:rFonts w:ascii="Arial" w:hAnsi="Arial" w:cs="Arial"/>
          <w:b/>
          <w:caps/>
          <w:color w:val="auto"/>
          <w:sz w:val="24"/>
          <w:szCs w:val="24"/>
        </w:rPr>
      </w:pPr>
    </w:p>
    <w:p w:rsidR="006D24A9" w:rsidRPr="00012844" w:rsidRDefault="00BA3828" w:rsidP="00C6585A">
      <w:pPr>
        <w:spacing w:after="0" w:line="360" w:lineRule="auto"/>
        <w:rPr>
          <w:rStyle w:val="fontstyle01"/>
          <w:rFonts w:ascii="Arial" w:hAnsi="Arial" w:cs="Arial"/>
          <w:caps/>
          <w:color w:val="auto"/>
          <w:sz w:val="24"/>
          <w:szCs w:val="24"/>
        </w:rPr>
      </w:pPr>
      <w:r w:rsidRPr="00012844">
        <w:rPr>
          <w:rStyle w:val="fontstyle01"/>
          <w:rFonts w:ascii="Arial" w:hAnsi="Arial" w:cs="Arial"/>
          <w:b/>
          <w:caps/>
          <w:color w:val="auto"/>
          <w:sz w:val="24"/>
          <w:szCs w:val="24"/>
        </w:rPr>
        <w:t>M</w:t>
      </w:r>
      <w:r w:rsidR="00012844" w:rsidRPr="00012844">
        <w:rPr>
          <w:rStyle w:val="fontstyle01"/>
          <w:rFonts w:ascii="Arial" w:hAnsi="Arial" w:cs="Arial"/>
          <w:b/>
          <w:caps/>
          <w:color w:val="auto"/>
          <w:sz w:val="24"/>
          <w:szCs w:val="24"/>
        </w:rPr>
        <w:t>aterial y m</w:t>
      </w:r>
      <w:r w:rsidRPr="00012844">
        <w:rPr>
          <w:rStyle w:val="fontstyle01"/>
          <w:rFonts w:ascii="Arial" w:hAnsi="Arial" w:cs="Arial"/>
          <w:b/>
          <w:caps/>
          <w:color w:val="auto"/>
          <w:sz w:val="24"/>
          <w:szCs w:val="24"/>
        </w:rPr>
        <w:t>étodos</w:t>
      </w:r>
    </w:p>
    <w:p w:rsidR="006D24A9" w:rsidRDefault="006D24A9" w:rsidP="00C6585A">
      <w:pPr>
        <w:spacing w:after="0" w:line="360" w:lineRule="auto"/>
        <w:jc w:val="both"/>
        <w:rPr>
          <w:rFonts w:ascii="Arial" w:hAnsi="Arial" w:cs="Arial"/>
          <w:sz w:val="24"/>
          <w:szCs w:val="24"/>
        </w:rPr>
      </w:pPr>
      <w:r>
        <w:rPr>
          <w:rFonts w:ascii="Arial" w:hAnsi="Arial" w:cs="Arial"/>
          <w:sz w:val="24"/>
          <w:szCs w:val="24"/>
        </w:rPr>
        <w:t xml:space="preserve">Se realizó </w:t>
      </w:r>
      <w:r w:rsidRPr="004F717A">
        <w:rPr>
          <w:rFonts w:ascii="Arial" w:hAnsi="Arial" w:cs="Arial"/>
          <w:sz w:val="24"/>
          <w:szCs w:val="24"/>
        </w:rPr>
        <w:t xml:space="preserve">un estudio </w:t>
      </w:r>
      <w:r>
        <w:rPr>
          <w:rFonts w:ascii="Arial" w:hAnsi="Arial" w:cs="Arial"/>
          <w:sz w:val="24"/>
          <w:szCs w:val="24"/>
        </w:rPr>
        <w:t xml:space="preserve">observacional, </w:t>
      </w:r>
      <w:r w:rsidR="00282439">
        <w:rPr>
          <w:rFonts w:ascii="Arial" w:hAnsi="Arial" w:cs="Arial"/>
          <w:sz w:val="24"/>
          <w:szCs w:val="24"/>
        </w:rPr>
        <w:t xml:space="preserve">analítico </w:t>
      </w:r>
      <w:r>
        <w:rPr>
          <w:rFonts w:ascii="Arial" w:hAnsi="Arial" w:cs="Arial"/>
          <w:sz w:val="24"/>
          <w:szCs w:val="24"/>
        </w:rPr>
        <w:t xml:space="preserve">y </w:t>
      </w:r>
      <w:r w:rsidRPr="004F717A">
        <w:rPr>
          <w:rFonts w:ascii="Arial" w:hAnsi="Arial" w:cs="Arial"/>
          <w:sz w:val="24"/>
          <w:szCs w:val="24"/>
        </w:rPr>
        <w:t xml:space="preserve">transversal, que </w:t>
      </w:r>
      <w:r>
        <w:rPr>
          <w:rFonts w:ascii="Arial" w:hAnsi="Arial" w:cs="Arial"/>
          <w:sz w:val="24"/>
          <w:szCs w:val="24"/>
        </w:rPr>
        <w:t>incluyó pacientes ambulatorios, mayores de 60</w:t>
      </w:r>
      <w:r w:rsidRPr="004F717A">
        <w:rPr>
          <w:rFonts w:ascii="Arial" w:hAnsi="Arial" w:cs="Arial"/>
          <w:sz w:val="24"/>
          <w:szCs w:val="24"/>
        </w:rPr>
        <w:t xml:space="preserve"> años de edad, </w:t>
      </w:r>
      <w:r w:rsidR="00773511">
        <w:rPr>
          <w:rFonts w:ascii="Arial" w:hAnsi="Arial" w:cs="Arial"/>
          <w:sz w:val="24"/>
          <w:szCs w:val="24"/>
        </w:rPr>
        <w:t>de ambos sexos</w:t>
      </w:r>
      <w:r w:rsidR="001E66EB">
        <w:rPr>
          <w:rFonts w:ascii="Arial" w:hAnsi="Arial" w:cs="Arial"/>
          <w:sz w:val="24"/>
          <w:szCs w:val="24"/>
        </w:rPr>
        <w:t xml:space="preserve"> por igual</w:t>
      </w:r>
      <w:r>
        <w:rPr>
          <w:rFonts w:ascii="Arial" w:hAnsi="Arial" w:cs="Arial"/>
          <w:sz w:val="24"/>
          <w:szCs w:val="24"/>
        </w:rPr>
        <w:t xml:space="preserve">, </w:t>
      </w:r>
      <w:r w:rsidRPr="004F717A">
        <w:rPr>
          <w:rFonts w:ascii="Arial" w:hAnsi="Arial" w:cs="Arial"/>
          <w:sz w:val="24"/>
          <w:szCs w:val="24"/>
        </w:rPr>
        <w:t>con factores de ri</w:t>
      </w:r>
      <w:r>
        <w:rPr>
          <w:rFonts w:ascii="Arial" w:hAnsi="Arial" w:cs="Arial"/>
          <w:sz w:val="24"/>
          <w:szCs w:val="24"/>
        </w:rPr>
        <w:t>esgo conocidos para ERC</w:t>
      </w:r>
      <w:r w:rsidRPr="00B63C1C">
        <w:rPr>
          <w:rFonts w:ascii="Arial" w:hAnsi="Arial" w:cs="Arial"/>
          <w:sz w:val="24"/>
          <w:szCs w:val="24"/>
        </w:rPr>
        <w:t>,</w:t>
      </w:r>
      <w:r>
        <w:rPr>
          <w:rFonts w:ascii="Arial" w:hAnsi="Arial" w:cs="Arial"/>
          <w:sz w:val="24"/>
          <w:szCs w:val="24"/>
        </w:rPr>
        <w:t xml:space="preserve"> durante el año 2022.</w:t>
      </w:r>
      <w:r w:rsidRPr="004F717A">
        <w:rPr>
          <w:rFonts w:ascii="Arial" w:hAnsi="Arial" w:cs="Arial"/>
          <w:sz w:val="24"/>
          <w:szCs w:val="24"/>
        </w:rPr>
        <w:t xml:space="preserve"> </w:t>
      </w:r>
      <w:r w:rsidR="001E66EB">
        <w:rPr>
          <w:rFonts w:ascii="Arial" w:hAnsi="Arial" w:cs="Arial"/>
          <w:sz w:val="24"/>
          <w:szCs w:val="24"/>
        </w:rPr>
        <w:t>De un uni</w:t>
      </w:r>
      <w:r w:rsidR="007E4298">
        <w:rPr>
          <w:rFonts w:ascii="Arial" w:hAnsi="Arial" w:cs="Arial"/>
          <w:sz w:val="24"/>
          <w:szCs w:val="24"/>
        </w:rPr>
        <w:t xml:space="preserve">verso de 2500 muestras de orina, </w:t>
      </w:r>
      <w:r w:rsidR="001E66EB">
        <w:rPr>
          <w:rFonts w:ascii="Arial" w:hAnsi="Arial" w:cs="Arial"/>
          <w:sz w:val="24"/>
          <w:szCs w:val="24"/>
        </w:rPr>
        <w:t xml:space="preserve">fueron </w:t>
      </w:r>
      <w:r w:rsidR="007E4298">
        <w:rPr>
          <w:rFonts w:ascii="Arial" w:hAnsi="Arial" w:cs="Arial"/>
          <w:sz w:val="24"/>
          <w:szCs w:val="24"/>
        </w:rPr>
        <w:t xml:space="preserve">procesadas </w:t>
      </w:r>
      <w:r w:rsidR="001E66EB">
        <w:rPr>
          <w:rFonts w:ascii="Arial" w:hAnsi="Arial" w:cs="Arial"/>
          <w:sz w:val="24"/>
          <w:szCs w:val="24"/>
        </w:rPr>
        <w:t xml:space="preserve">mediante muestreo intencional </w:t>
      </w:r>
      <w:r w:rsidR="00B63C1C">
        <w:rPr>
          <w:rFonts w:ascii="Arial" w:hAnsi="Arial" w:cs="Arial"/>
          <w:sz w:val="24"/>
          <w:szCs w:val="24"/>
        </w:rPr>
        <w:t>1300</w:t>
      </w:r>
      <w:r w:rsidR="001E66EB">
        <w:rPr>
          <w:rFonts w:ascii="Arial" w:hAnsi="Arial" w:cs="Arial"/>
          <w:sz w:val="24"/>
          <w:szCs w:val="24"/>
        </w:rPr>
        <w:t xml:space="preserve"> muestras</w:t>
      </w:r>
      <w:r w:rsidR="007E4298">
        <w:rPr>
          <w:rFonts w:ascii="Arial" w:hAnsi="Arial" w:cs="Arial"/>
          <w:sz w:val="24"/>
          <w:szCs w:val="24"/>
        </w:rPr>
        <w:t xml:space="preserve"> de orina, de los pacientes que cumplieron con los criterios de inclusión</w:t>
      </w:r>
      <w:r w:rsidR="001E66EB">
        <w:rPr>
          <w:rFonts w:ascii="Arial" w:hAnsi="Arial" w:cs="Arial"/>
          <w:sz w:val="24"/>
          <w:szCs w:val="24"/>
        </w:rPr>
        <w:t>,</w:t>
      </w:r>
      <w:r w:rsidR="001E66EB" w:rsidRPr="006A40CE">
        <w:rPr>
          <w:rFonts w:ascii="Arial" w:hAnsi="Arial" w:cs="Arial"/>
          <w:sz w:val="24"/>
          <w:szCs w:val="24"/>
        </w:rPr>
        <w:t xml:space="preserve"> </w:t>
      </w:r>
      <w:r w:rsidRPr="006A40CE">
        <w:rPr>
          <w:rFonts w:ascii="Arial" w:hAnsi="Arial" w:cs="Arial"/>
          <w:sz w:val="24"/>
          <w:szCs w:val="24"/>
        </w:rPr>
        <w:t xml:space="preserve">recibidas en el </w:t>
      </w:r>
      <w:r>
        <w:rPr>
          <w:rFonts w:ascii="Arial" w:hAnsi="Arial" w:cs="Arial"/>
          <w:sz w:val="24"/>
          <w:szCs w:val="24"/>
        </w:rPr>
        <w:t xml:space="preserve">laboratorio de Microbiología del Hospital Pediátrico Pepe Portilla </w:t>
      </w:r>
      <w:r w:rsidRPr="006A40CE">
        <w:rPr>
          <w:rFonts w:ascii="Arial" w:hAnsi="Arial" w:cs="Arial"/>
          <w:sz w:val="24"/>
          <w:szCs w:val="24"/>
        </w:rPr>
        <w:t xml:space="preserve">procedentes de </w:t>
      </w:r>
      <w:r>
        <w:rPr>
          <w:rFonts w:ascii="Arial" w:hAnsi="Arial" w:cs="Arial"/>
          <w:sz w:val="24"/>
          <w:szCs w:val="24"/>
        </w:rPr>
        <w:t>pacientes del Policlinico Luís Augusto Turcios Lima</w:t>
      </w:r>
      <w:r w:rsidR="001E66EB">
        <w:rPr>
          <w:rFonts w:ascii="Arial" w:hAnsi="Arial" w:cs="Arial"/>
          <w:sz w:val="24"/>
          <w:szCs w:val="24"/>
        </w:rPr>
        <w:t>, de la Ciudad de Pinar del Río</w:t>
      </w:r>
      <w:r>
        <w:rPr>
          <w:rFonts w:ascii="Arial" w:hAnsi="Arial" w:cs="Arial"/>
          <w:sz w:val="24"/>
          <w:szCs w:val="24"/>
        </w:rPr>
        <w:t xml:space="preserve">. </w:t>
      </w:r>
      <w:r w:rsidR="001E66EB">
        <w:rPr>
          <w:rFonts w:ascii="Arial" w:hAnsi="Arial" w:cs="Arial"/>
          <w:sz w:val="24"/>
          <w:szCs w:val="24"/>
        </w:rPr>
        <w:t xml:space="preserve"> </w:t>
      </w:r>
      <w:r w:rsidRPr="006A40CE">
        <w:rPr>
          <w:rFonts w:ascii="Arial" w:hAnsi="Arial" w:cs="Arial"/>
          <w:sz w:val="24"/>
          <w:szCs w:val="24"/>
        </w:rPr>
        <w:t xml:space="preserve">A todas las muestras </w:t>
      </w:r>
      <w:r>
        <w:rPr>
          <w:rFonts w:ascii="Arial" w:hAnsi="Arial" w:cs="Arial"/>
          <w:sz w:val="24"/>
          <w:szCs w:val="24"/>
        </w:rPr>
        <w:t xml:space="preserve">de orina </w:t>
      </w:r>
      <w:r w:rsidRPr="006A40CE">
        <w:rPr>
          <w:rFonts w:ascii="Arial" w:hAnsi="Arial" w:cs="Arial"/>
          <w:sz w:val="24"/>
          <w:szCs w:val="24"/>
        </w:rPr>
        <w:t xml:space="preserve">se les realizó </w:t>
      </w:r>
      <w:r w:rsidRPr="006A6DE1">
        <w:rPr>
          <w:rStyle w:val="fontstyle01"/>
          <w:rFonts w:ascii="Arial" w:hAnsi="Arial" w:cs="Arial"/>
          <w:color w:val="auto"/>
          <w:sz w:val="24"/>
          <w:szCs w:val="24"/>
        </w:rPr>
        <w:t xml:space="preserve">examen de orina y </w:t>
      </w:r>
      <w:r w:rsidRPr="006A40CE">
        <w:rPr>
          <w:rFonts w:ascii="Arial" w:hAnsi="Arial" w:cs="Arial"/>
          <w:sz w:val="24"/>
          <w:szCs w:val="24"/>
        </w:rPr>
        <w:t xml:space="preserve">la determinación de </w:t>
      </w:r>
      <w:r>
        <w:rPr>
          <w:rFonts w:ascii="Arial" w:hAnsi="Arial" w:cs="Arial"/>
          <w:sz w:val="24"/>
          <w:szCs w:val="24"/>
        </w:rPr>
        <w:t xml:space="preserve">microalbuminuria </w:t>
      </w:r>
      <w:r w:rsidRPr="006162F2">
        <w:rPr>
          <w:rStyle w:val="fontstyle01"/>
          <w:rFonts w:ascii="Arial" w:hAnsi="Arial" w:cs="Arial"/>
          <w:color w:val="auto"/>
          <w:sz w:val="24"/>
          <w:szCs w:val="24"/>
        </w:rPr>
        <w:t xml:space="preserve">mediante </w:t>
      </w:r>
      <w:r w:rsidR="00F45F69">
        <w:rPr>
          <w:rStyle w:val="fontstyle01"/>
          <w:rFonts w:ascii="Arial" w:hAnsi="Arial" w:cs="Arial"/>
          <w:color w:val="auto"/>
          <w:sz w:val="24"/>
          <w:szCs w:val="24"/>
        </w:rPr>
        <w:t xml:space="preserve">SUMA (Sistema </w:t>
      </w:r>
      <w:r>
        <w:rPr>
          <w:rStyle w:val="fontstyle01"/>
          <w:rFonts w:ascii="Arial" w:hAnsi="Arial" w:cs="Arial"/>
          <w:color w:val="auto"/>
          <w:sz w:val="24"/>
          <w:szCs w:val="24"/>
        </w:rPr>
        <w:t>ultramicroanálitico) empleando Umelisa</w:t>
      </w:r>
      <w:r w:rsidR="00F45F69">
        <w:rPr>
          <w:rStyle w:val="fontstyle01"/>
          <w:rFonts w:ascii="Arial" w:hAnsi="Arial" w:cs="Arial"/>
          <w:color w:val="auto"/>
          <w:sz w:val="24"/>
          <w:szCs w:val="24"/>
        </w:rPr>
        <w:t xml:space="preserve">, </w:t>
      </w:r>
      <w:r w:rsidR="00F45F69">
        <w:rPr>
          <w:rFonts w:ascii="Arial" w:hAnsi="Arial" w:cs="Arial"/>
          <w:sz w:val="24"/>
          <w:szCs w:val="24"/>
        </w:rPr>
        <w:t xml:space="preserve">considerándose como  </w:t>
      </w:r>
      <w:r w:rsidR="00F45F69">
        <w:rPr>
          <w:rFonts w:ascii="Arial" w:eastAsia="Calibri" w:hAnsi="Arial" w:cs="Arial"/>
          <w:bCs/>
          <w:sz w:val="24"/>
          <w:szCs w:val="24"/>
          <w:lang w:val="es-EC"/>
        </w:rPr>
        <w:t>m</w:t>
      </w:r>
      <w:r w:rsidR="00F45F69" w:rsidRPr="00F45F69">
        <w:rPr>
          <w:rFonts w:ascii="Arial" w:eastAsia="Calibri" w:hAnsi="Arial" w:cs="Arial"/>
          <w:bCs/>
          <w:sz w:val="24"/>
          <w:szCs w:val="24"/>
          <w:lang w:val="es-EC"/>
        </w:rPr>
        <w:t xml:space="preserve">icroalbuminuria </w:t>
      </w:r>
      <w:r w:rsidR="00F45F69">
        <w:rPr>
          <w:rFonts w:ascii="Arial" w:eastAsia="Calibri" w:hAnsi="Arial" w:cs="Arial"/>
          <w:bCs/>
          <w:sz w:val="24"/>
          <w:szCs w:val="24"/>
          <w:lang w:val="es-EC"/>
        </w:rPr>
        <w:t>a la excreción de 20-200 mg/l</w:t>
      </w:r>
      <w:r w:rsidR="001E66EB">
        <w:rPr>
          <w:rFonts w:ascii="Arial" w:eastAsia="Calibri" w:hAnsi="Arial" w:cs="Arial"/>
          <w:bCs/>
          <w:sz w:val="24"/>
          <w:szCs w:val="24"/>
          <w:lang w:val="es-EC"/>
        </w:rPr>
        <w:t xml:space="preserve"> y macroalbuminuria cuando esta fue mayor de 200 mg/l.</w:t>
      </w:r>
    </w:p>
    <w:p w:rsidR="00F45F69" w:rsidRDefault="00C61D69" w:rsidP="00C6585A">
      <w:pPr>
        <w:spacing w:after="0" w:line="360" w:lineRule="auto"/>
        <w:jc w:val="both"/>
        <w:rPr>
          <w:rFonts w:ascii="Arial" w:hAnsi="Arial" w:cs="Arial"/>
          <w:sz w:val="24"/>
          <w:szCs w:val="24"/>
        </w:rPr>
      </w:pPr>
      <w:r w:rsidRPr="00C61D69">
        <w:rPr>
          <w:rFonts w:ascii="Arial" w:hAnsi="Arial" w:cs="Arial"/>
          <w:sz w:val="24"/>
          <w:szCs w:val="24"/>
        </w:rPr>
        <w:t>Para la recolección de los datos, se les aplicó una encuesta a estos pacientes, auxiliándonos de los profesionales de salud del Policlínico, previo consentimiento informado.</w:t>
      </w:r>
      <w:r w:rsidRPr="00CB5239">
        <w:rPr>
          <w:rFonts w:ascii="Verdana" w:hAnsi="Verdana" w:cs="Arial"/>
          <w:sz w:val="20"/>
          <w:szCs w:val="20"/>
        </w:rPr>
        <w:t xml:space="preserve"> </w:t>
      </w:r>
      <w:r w:rsidR="002B708E" w:rsidRPr="002B708E">
        <w:rPr>
          <w:rFonts w:ascii="Arial" w:eastAsia="Calibri" w:hAnsi="Arial" w:cs="Arial"/>
          <w:sz w:val="24"/>
          <w:szCs w:val="24"/>
        </w:rPr>
        <w:t xml:space="preserve">Las variables estudiadas fueron: </w:t>
      </w:r>
      <w:r w:rsidR="006D24A9" w:rsidRPr="004F717A">
        <w:rPr>
          <w:rFonts w:ascii="Arial" w:hAnsi="Arial" w:cs="Arial"/>
          <w:sz w:val="24"/>
          <w:szCs w:val="24"/>
        </w:rPr>
        <w:t xml:space="preserve">datos </w:t>
      </w:r>
      <w:r w:rsidR="00B63C1C">
        <w:rPr>
          <w:rFonts w:ascii="Arial" w:hAnsi="Arial" w:cs="Arial"/>
          <w:sz w:val="24"/>
          <w:szCs w:val="24"/>
        </w:rPr>
        <w:t>socio</w:t>
      </w:r>
      <w:r w:rsidR="00F45F69">
        <w:rPr>
          <w:rFonts w:ascii="Arial" w:hAnsi="Arial" w:cs="Arial"/>
          <w:sz w:val="24"/>
          <w:szCs w:val="24"/>
        </w:rPr>
        <w:t xml:space="preserve">demográficos como: </w:t>
      </w:r>
      <w:r w:rsidR="006D24A9" w:rsidRPr="004F717A">
        <w:rPr>
          <w:rFonts w:ascii="Arial" w:hAnsi="Arial" w:cs="Arial"/>
          <w:sz w:val="24"/>
          <w:szCs w:val="24"/>
        </w:rPr>
        <w:t>edad</w:t>
      </w:r>
      <w:r w:rsidR="00F45F69">
        <w:rPr>
          <w:rFonts w:ascii="Arial" w:hAnsi="Arial" w:cs="Arial"/>
          <w:sz w:val="24"/>
          <w:szCs w:val="24"/>
        </w:rPr>
        <w:t xml:space="preserve"> (mayores de 60 años)</w:t>
      </w:r>
      <w:r w:rsidR="00B63C1C">
        <w:rPr>
          <w:rFonts w:ascii="Arial" w:hAnsi="Arial" w:cs="Arial"/>
          <w:sz w:val="24"/>
          <w:szCs w:val="24"/>
        </w:rPr>
        <w:t>, sexo</w:t>
      </w:r>
      <w:r w:rsidR="00F45F69">
        <w:rPr>
          <w:rFonts w:ascii="Arial" w:hAnsi="Arial" w:cs="Arial"/>
          <w:sz w:val="24"/>
          <w:szCs w:val="24"/>
        </w:rPr>
        <w:t xml:space="preserve"> (masculino y femenino), ocupación (trabajador, ama de casa o jubilado)</w:t>
      </w:r>
      <w:r w:rsidR="00B63C1C">
        <w:rPr>
          <w:rFonts w:ascii="Arial" w:hAnsi="Arial" w:cs="Arial"/>
          <w:sz w:val="24"/>
          <w:szCs w:val="24"/>
        </w:rPr>
        <w:t xml:space="preserve">, antecedentes </w:t>
      </w:r>
      <w:r w:rsidR="006D24A9">
        <w:rPr>
          <w:rFonts w:ascii="Arial" w:hAnsi="Arial" w:cs="Arial"/>
          <w:sz w:val="24"/>
          <w:szCs w:val="24"/>
        </w:rPr>
        <w:t>de salud (hipertensión arterial, diabetes m</w:t>
      </w:r>
      <w:r w:rsidR="00B63C1C">
        <w:rPr>
          <w:rFonts w:ascii="Arial" w:hAnsi="Arial" w:cs="Arial"/>
          <w:sz w:val="24"/>
          <w:szCs w:val="24"/>
        </w:rPr>
        <w:t xml:space="preserve">ellitus, enfermedad cardiovascular </w:t>
      </w:r>
      <w:r w:rsidR="006D24A9">
        <w:rPr>
          <w:rFonts w:ascii="Arial" w:hAnsi="Arial" w:cs="Arial"/>
          <w:sz w:val="24"/>
          <w:szCs w:val="24"/>
        </w:rPr>
        <w:t>obesidad</w:t>
      </w:r>
      <w:r w:rsidR="00B63C1C">
        <w:rPr>
          <w:rFonts w:ascii="Arial" w:hAnsi="Arial" w:cs="Arial"/>
          <w:sz w:val="24"/>
          <w:szCs w:val="24"/>
        </w:rPr>
        <w:t>, hiperlipidemia</w:t>
      </w:r>
      <w:r w:rsidR="006D24A9" w:rsidRPr="004F717A">
        <w:rPr>
          <w:rFonts w:ascii="Arial" w:hAnsi="Arial" w:cs="Arial"/>
          <w:sz w:val="24"/>
          <w:szCs w:val="24"/>
        </w:rPr>
        <w:t xml:space="preserve">) y </w:t>
      </w:r>
      <w:r w:rsidR="006D24A9">
        <w:rPr>
          <w:rFonts w:ascii="Arial" w:hAnsi="Arial" w:cs="Arial"/>
          <w:sz w:val="24"/>
          <w:szCs w:val="24"/>
        </w:rPr>
        <w:t xml:space="preserve">datos </w:t>
      </w:r>
      <w:r w:rsidR="006D24A9" w:rsidRPr="004F717A">
        <w:rPr>
          <w:rFonts w:ascii="Arial" w:hAnsi="Arial" w:cs="Arial"/>
          <w:sz w:val="24"/>
          <w:szCs w:val="24"/>
        </w:rPr>
        <w:t>sobre el estilo de vid</w:t>
      </w:r>
      <w:r w:rsidR="00B63C1C">
        <w:rPr>
          <w:rFonts w:ascii="Arial" w:hAnsi="Arial" w:cs="Arial"/>
          <w:sz w:val="24"/>
          <w:szCs w:val="24"/>
        </w:rPr>
        <w:t>a (</w:t>
      </w:r>
      <w:r w:rsidR="006D24A9">
        <w:rPr>
          <w:rFonts w:ascii="Arial" w:hAnsi="Arial" w:cs="Arial"/>
          <w:sz w:val="24"/>
          <w:szCs w:val="24"/>
        </w:rPr>
        <w:t>hábito de fumar</w:t>
      </w:r>
      <w:r w:rsidR="00B63C1C">
        <w:rPr>
          <w:rFonts w:ascii="Arial" w:hAnsi="Arial" w:cs="Arial"/>
          <w:sz w:val="24"/>
          <w:szCs w:val="24"/>
        </w:rPr>
        <w:t xml:space="preserve"> </w:t>
      </w:r>
      <w:r w:rsidR="006D1EDE">
        <w:rPr>
          <w:rFonts w:ascii="Arial" w:hAnsi="Arial" w:cs="Arial"/>
          <w:sz w:val="24"/>
          <w:szCs w:val="24"/>
        </w:rPr>
        <w:t xml:space="preserve">(de al </w:t>
      </w:r>
      <w:r w:rsidR="006D1EDE">
        <w:rPr>
          <w:rFonts w:ascii="Arial" w:hAnsi="Arial" w:cs="Arial"/>
          <w:sz w:val="24"/>
          <w:szCs w:val="24"/>
        </w:rPr>
        <w:lastRenderedPageBreak/>
        <w:t>menos 1 vez en el día)</w:t>
      </w:r>
      <w:r w:rsidR="00035F29" w:rsidRPr="00035F29">
        <w:rPr>
          <w:rStyle w:val="fontstyle01"/>
        </w:rPr>
        <w:t xml:space="preserve"> </w:t>
      </w:r>
      <w:r w:rsidR="00B63C1C">
        <w:rPr>
          <w:rFonts w:ascii="Arial" w:hAnsi="Arial" w:cs="Arial"/>
          <w:sz w:val="24"/>
          <w:szCs w:val="24"/>
        </w:rPr>
        <w:t>y consumo de bebidas alcohólicas</w:t>
      </w:r>
      <w:r w:rsidR="002B708E">
        <w:rPr>
          <w:rFonts w:ascii="Arial" w:hAnsi="Arial" w:cs="Arial"/>
          <w:sz w:val="24"/>
          <w:szCs w:val="24"/>
        </w:rPr>
        <w:t xml:space="preserve"> </w:t>
      </w:r>
      <w:r w:rsidR="006D1EDE">
        <w:rPr>
          <w:rFonts w:ascii="Arial" w:hAnsi="Arial" w:cs="Arial"/>
          <w:sz w:val="24"/>
          <w:szCs w:val="24"/>
        </w:rPr>
        <w:t>(</w:t>
      </w:r>
      <w:r w:rsidR="002B708E">
        <w:rPr>
          <w:rFonts w:ascii="Arial" w:hAnsi="Arial" w:cs="Arial"/>
          <w:sz w:val="24"/>
          <w:szCs w:val="24"/>
        </w:rPr>
        <w:t>de al menos 1 vez por semana</w:t>
      </w:r>
      <w:r w:rsidR="006D24A9" w:rsidRPr="004F717A">
        <w:rPr>
          <w:rFonts w:ascii="Arial" w:hAnsi="Arial" w:cs="Arial"/>
          <w:sz w:val="24"/>
          <w:szCs w:val="24"/>
        </w:rPr>
        <w:t xml:space="preserve">). </w:t>
      </w:r>
    </w:p>
    <w:p w:rsidR="006D24A9" w:rsidRDefault="006D24A9" w:rsidP="00C6585A">
      <w:pPr>
        <w:spacing w:after="0" w:line="360" w:lineRule="auto"/>
        <w:jc w:val="both"/>
        <w:rPr>
          <w:rFonts w:ascii="Arial" w:hAnsi="Arial" w:cs="Arial"/>
          <w:sz w:val="24"/>
          <w:szCs w:val="24"/>
        </w:rPr>
      </w:pPr>
      <w:r w:rsidRPr="004F717A">
        <w:rPr>
          <w:rFonts w:ascii="Arial" w:hAnsi="Arial" w:cs="Arial"/>
          <w:sz w:val="24"/>
          <w:szCs w:val="24"/>
        </w:rPr>
        <w:t xml:space="preserve">Cada paciente tuvo una evaluación clínica que registró su </w:t>
      </w:r>
      <w:r w:rsidR="00F15C71">
        <w:rPr>
          <w:rFonts w:ascii="Arial" w:hAnsi="Arial" w:cs="Arial"/>
          <w:sz w:val="24"/>
          <w:szCs w:val="24"/>
        </w:rPr>
        <w:t xml:space="preserve">tensión </w:t>
      </w:r>
      <w:r w:rsidRPr="004F717A">
        <w:rPr>
          <w:rFonts w:ascii="Arial" w:hAnsi="Arial" w:cs="Arial"/>
          <w:sz w:val="24"/>
          <w:szCs w:val="24"/>
        </w:rPr>
        <w:t xml:space="preserve">arterial, talla, peso, </w:t>
      </w:r>
      <w:r>
        <w:rPr>
          <w:rFonts w:ascii="Arial" w:hAnsi="Arial" w:cs="Arial"/>
          <w:sz w:val="24"/>
          <w:szCs w:val="24"/>
        </w:rPr>
        <w:t xml:space="preserve">y </w:t>
      </w:r>
      <w:r w:rsidRPr="004F717A">
        <w:rPr>
          <w:rFonts w:ascii="Arial" w:hAnsi="Arial" w:cs="Arial"/>
          <w:sz w:val="24"/>
          <w:szCs w:val="24"/>
        </w:rPr>
        <w:t>cálculo de índice de masa corporal (IMC</w:t>
      </w:r>
      <w:r>
        <w:rPr>
          <w:rFonts w:ascii="Arial" w:hAnsi="Arial" w:cs="Arial"/>
          <w:sz w:val="24"/>
          <w:szCs w:val="24"/>
        </w:rPr>
        <w:t>).</w:t>
      </w:r>
      <w:r w:rsidR="00F45F69">
        <w:rPr>
          <w:rFonts w:ascii="Arial" w:eastAsia="Calibri" w:hAnsi="Arial" w:cs="Arial"/>
          <w:bCs/>
          <w:sz w:val="24"/>
          <w:szCs w:val="24"/>
          <w:lang w:val="es-EC"/>
        </w:rPr>
        <w:t xml:space="preserve"> Se consideró como </w:t>
      </w:r>
      <w:r w:rsidR="00DF3567">
        <w:rPr>
          <w:rFonts w:ascii="Arial" w:hAnsi="Arial" w:cs="Arial"/>
          <w:sz w:val="24"/>
          <w:szCs w:val="24"/>
        </w:rPr>
        <w:t xml:space="preserve">sobrepeso si el IMC fue </w:t>
      </w:r>
      <w:r w:rsidR="00DF3567" w:rsidRPr="00E222E6">
        <w:rPr>
          <w:rFonts w:ascii="Arial" w:hAnsi="Arial" w:cs="Arial"/>
          <w:sz w:val="24"/>
          <w:szCs w:val="24"/>
        </w:rPr>
        <w:t>&gt;</w:t>
      </w:r>
      <w:r w:rsidR="00DF3567">
        <w:rPr>
          <w:rFonts w:ascii="Arial" w:hAnsi="Arial" w:cs="Arial"/>
          <w:sz w:val="24"/>
          <w:szCs w:val="24"/>
        </w:rPr>
        <w:t xml:space="preserve"> 25 y </w:t>
      </w:r>
      <w:r w:rsidRPr="00E222E6">
        <w:rPr>
          <w:rFonts w:ascii="Arial" w:hAnsi="Arial" w:cs="Arial"/>
          <w:sz w:val="24"/>
          <w:szCs w:val="24"/>
        </w:rPr>
        <w:t>obesidad si fue &gt;</w:t>
      </w:r>
      <w:r>
        <w:rPr>
          <w:rFonts w:ascii="Arial" w:hAnsi="Arial" w:cs="Arial"/>
          <w:sz w:val="24"/>
          <w:szCs w:val="24"/>
        </w:rPr>
        <w:t xml:space="preserve">30 Kg/m2. </w:t>
      </w:r>
    </w:p>
    <w:p w:rsidR="00F45F69" w:rsidRPr="00C61D69" w:rsidRDefault="00C61D69" w:rsidP="00C6585A">
      <w:pPr>
        <w:spacing w:after="0" w:line="360" w:lineRule="auto"/>
        <w:jc w:val="both"/>
        <w:rPr>
          <w:rFonts w:ascii="Verdana" w:hAnsi="Verdana" w:cs="Arial"/>
          <w:sz w:val="20"/>
        </w:rPr>
      </w:pPr>
      <w:r w:rsidRPr="00C61D69">
        <w:rPr>
          <w:rFonts w:ascii="Arial" w:hAnsi="Arial" w:cs="Arial"/>
          <w:sz w:val="24"/>
          <w:szCs w:val="24"/>
        </w:rPr>
        <w:t>Los datos se recogieron en una base de datos en Microsoft Excel 2013 confeccionada para ello.</w:t>
      </w:r>
      <w:r>
        <w:rPr>
          <w:rFonts w:ascii="Verdana" w:hAnsi="Verdana" w:cs="Arial"/>
          <w:sz w:val="20"/>
        </w:rPr>
        <w:t xml:space="preserve"> </w:t>
      </w:r>
      <w:r w:rsidR="006D24A9" w:rsidRPr="000F65B7">
        <w:rPr>
          <w:rFonts w:ascii="Arial" w:hAnsi="Arial" w:cs="Arial"/>
          <w:sz w:val="24"/>
          <w:szCs w:val="24"/>
        </w:rPr>
        <w:t>En el análisis descriptivo se examinó la distribución de las frecuencias para cada una de las variables considera</w:t>
      </w:r>
      <w:r w:rsidR="00CD51A5">
        <w:rPr>
          <w:rFonts w:ascii="Arial" w:hAnsi="Arial" w:cs="Arial"/>
          <w:sz w:val="24"/>
          <w:szCs w:val="24"/>
        </w:rPr>
        <w:t>das, expresándolas como media</w:t>
      </w:r>
      <w:r w:rsidR="00F33344">
        <w:rPr>
          <w:rFonts w:ascii="Arial" w:hAnsi="Arial" w:cs="Arial"/>
          <w:sz w:val="24"/>
          <w:szCs w:val="24"/>
        </w:rPr>
        <w:t xml:space="preserve"> (X)</w:t>
      </w:r>
      <w:r w:rsidR="00F15C71">
        <w:rPr>
          <w:rFonts w:ascii="Arial" w:hAnsi="Arial" w:cs="Arial"/>
          <w:sz w:val="24"/>
          <w:szCs w:val="24"/>
        </w:rPr>
        <w:t xml:space="preserve"> y </w:t>
      </w:r>
      <w:r w:rsidR="006D24A9" w:rsidRPr="000F65B7">
        <w:rPr>
          <w:rFonts w:ascii="Arial" w:hAnsi="Arial" w:cs="Arial"/>
          <w:sz w:val="24"/>
          <w:szCs w:val="24"/>
        </w:rPr>
        <w:t xml:space="preserve">desviación estándar </w:t>
      </w:r>
      <w:r w:rsidR="004059F4">
        <w:rPr>
          <w:rFonts w:ascii="Arial" w:hAnsi="Arial" w:cs="Arial"/>
          <w:sz w:val="24"/>
          <w:szCs w:val="24"/>
        </w:rPr>
        <w:t xml:space="preserve">(DS) </w:t>
      </w:r>
      <w:r w:rsidR="006D24A9" w:rsidRPr="000F65B7">
        <w:rPr>
          <w:rFonts w:ascii="Arial" w:hAnsi="Arial" w:cs="Arial"/>
          <w:sz w:val="24"/>
          <w:szCs w:val="24"/>
        </w:rPr>
        <w:t xml:space="preserve">para variables continuas y proporciones para variables categóricas. </w:t>
      </w:r>
    </w:p>
    <w:p w:rsidR="006D24A9" w:rsidRDefault="006D24A9" w:rsidP="00C6585A">
      <w:pPr>
        <w:spacing w:after="0" w:line="360" w:lineRule="auto"/>
        <w:jc w:val="both"/>
        <w:rPr>
          <w:rFonts w:ascii="Arial" w:hAnsi="Arial" w:cs="Arial"/>
          <w:b/>
          <w:sz w:val="24"/>
          <w:szCs w:val="24"/>
        </w:rPr>
      </w:pPr>
      <w:r>
        <w:rPr>
          <w:rFonts w:ascii="Arial" w:hAnsi="Arial" w:cs="Arial"/>
          <w:sz w:val="24"/>
          <w:szCs w:val="24"/>
        </w:rPr>
        <w:t xml:space="preserve">Definiendo la microalbuminuria </w:t>
      </w:r>
      <w:r w:rsidRPr="00E222E6">
        <w:rPr>
          <w:rFonts w:ascii="Arial" w:hAnsi="Arial" w:cs="Arial"/>
          <w:sz w:val="24"/>
          <w:szCs w:val="24"/>
        </w:rPr>
        <w:t xml:space="preserve"> como variable dependiente, se calculó el odds ratio (OR) y su intervalo de confianza del 95% (IC 95%)</w:t>
      </w:r>
      <w:r w:rsidR="00280E92">
        <w:rPr>
          <w:rFonts w:ascii="Arial" w:hAnsi="Arial" w:cs="Arial"/>
          <w:sz w:val="24"/>
          <w:szCs w:val="24"/>
        </w:rPr>
        <w:t xml:space="preserve">, </w:t>
      </w:r>
      <w:r w:rsidR="00613238" w:rsidRPr="0082776B">
        <w:rPr>
          <w:rFonts w:ascii="Arial" w:hAnsi="Arial" w:cs="Arial"/>
          <w:sz w:val="24"/>
          <w:szCs w:val="24"/>
        </w:rPr>
        <w:t>así como el Chi cuadrado con un nivel de signif</w:t>
      </w:r>
      <w:r w:rsidR="00342E50">
        <w:rPr>
          <w:rFonts w:ascii="Arial" w:hAnsi="Arial" w:cs="Arial"/>
          <w:sz w:val="24"/>
          <w:szCs w:val="24"/>
        </w:rPr>
        <w:t>icación estadística de p&lt;</w:t>
      </w:r>
      <w:r w:rsidR="00613238">
        <w:rPr>
          <w:rFonts w:ascii="Arial" w:hAnsi="Arial" w:cs="Arial"/>
          <w:sz w:val="24"/>
          <w:szCs w:val="24"/>
        </w:rPr>
        <w:t>0,05</w:t>
      </w:r>
      <w:r w:rsidR="00926969">
        <w:rPr>
          <w:rFonts w:ascii="Arial" w:hAnsi="Arial" w:cs="Arial"/>
          <w:sz w:val="24"/>
          <w:szCs w:val="24"/>
        </w:rPr>
        <w:t xml:space="preserve"> </w:t>
      </w:r>
      <w:r w:rsidR="00926969" w:rsidRPr="00E222E6">
        <w:rPr>
          <w:rFonts w:ascii="Arial" w:hAnsi="Arial" w:cs="Arial"/>
          <w:sz w:val="24"/>
          <w:szCs w:val="24"/>
        </w:rPr>
        <w:t>para las variables cualitativas</w:t>
      </w:r>
      <w:r w:rsidR="00926969" w:rsidRPr="00223658">
        <w:rPr>
          <w:rFonts w:ascii="Arial" w:hAnsi="Arial" w:cs="Arial"/>
          <w:sz w:val="24"/>
          <w:szCs w:val="24"/>
        </w:rPr>
        <w:t xml:space="preserve"> </w:t>
      </w:r>
      <w:r w:rsidR="00926969" w:rsidRPr="000F65B7">
        <w:rPr>
          <w:rFonts w:ascii="Arial" w:hAnsi="Arial" w:cs="Arial"/>
          <w:sz w:val="24"/>
          <w:szCs w:val="24"/>
        </w:rPr>
        <w:t>categóricas</w:t>
      </w:r>
      <w:r w:rsidR="00926969">
        <w:rPr>
          <w:rFonts w:ascii="Arial" w:hAnsi="Arial" w:cs="Arial"/>
          <w:sz w:val="24"/>
          <w:szCs w:val="24"/>
        </w:rPr>
        <w:t>,</w:t>
      </w:r>
      <w:r w:rsidR="001B7288">
        <w:rPr>
          <w:rFonts w:ascii="Arial" w:hAnsi="Arial" w:cs="Arial"/>
          <w:sz w:val="24"/>
          <w:szCs w:val="24"/>
        </w:rPr>
        <w:t xml:space="preserve"> </w:t>
      </w:r>
      <w:r w:rsidR="001B7288" w:rsidRPr="001B7288">
        <w:rPr>
          <w:rFonts w:ascii="Arial" w:hAnsi="Arial" w:cs="Arial"/>
          <w:color w:val="000000"/>
          <w:sz w:val="24"/>
          <w:szCs w:val="24"/>
        </w:rPr>
        <w:t xml:space="preserve">y </w:t>
      </w:r>
      <w:r w:rsidR="002134B7">
        <w:rPr>
          <w:rFonts w:ascii="Arial" w:hAnsi="Arial" w:cs="Arial"/>
          <w:color w:val="000000"/>
          <w:sz w:val="24"/>
          <w:szCs w:val="24"/>
        </w:rPr>
        <w:t xml:space="preserve">el estadígrafo Z </w:t>
      </w:r>
      <w:r w:rsidR="001B7288">
        <w:rPr>
          <w:rFonts w:ascii="Arial" w:hAnsi="Arial" w:cs="Arial"/>
          <w:color w:val="000000"/>
          <w:sz w:val="24"/>
          <w:szCs w:val="24"/>
        </w:rPr>
        <w:t xml:space="preserve">para las variables </w:t>
      </w:r>
      <w:r w:rsidR="00926969">
        <w:rPr>
          <w:rFonts w:ascii="Arial" w:hAnsi="Arial" w:cs="Arial"/>
          <w:color w:val="000000"/>
          <w:sz w:val="24"/>
          <w:szCs w:val="24"/>
        </w:rPr>
        <w:t>continúas</w:t>
      </w:r>
      <w:r w:rsidR="00342E50">
        <w:rPr>
          <w:rFonts w:ascii="Arial" w:hAnsi="Arial" w:cs="Arial"/>
          <w:color w:val="000000"/>
          <w:sz w:val="24"/>
          <w:szCs w:val="24"/>
        </w:rPr>
        <w:t xml:space="preserve">, con </w:t>
      </w:r>
      <w:r w:rsidR="008711A0">
        <w:rPr>
          <w:rFonts w:ascii="Arial" w:hAnsi="Arial" w:cs="Arial"/>
          <w:color w:val="000000"/>
          <w:sz w:val="24"/>
          <w:szCs w:val="24"/>
        </w:rPr>
        <w:t xml:space="preserve">igual </w:t>
      </w:r>
      <w:r w:rsidR="00342E50">
        <w:rPr>
          <w:rFonts w:ascii="Arial" w:hAnsi="Arial" w:cs="Arial"/>
          <w:color w:val="000000"/>
          <w:sz w:val="24"/>
          <w:szCs w:val="24"/>
        </w:rPr>
        <w:t xml:space="preserve">nivel de significación estadística de </w:t>
      </w:r>
      <w:r w:rsidR="00342E50">
        <w:rPr>
          <w:rFonts w:ascii="Arial" w:hAnsi="Arial" w:cs="Arial"/>
          <w:sz w:val="24"/>
          <w:szCs w:val="24"/>
        </w:rPr>
        <w:t>p&lt;0,05</w:t>
      </w:r>
      <w:r w:rsidR="00926969">
        <w:rPr>
          <w:rFonts w:ascii="Arial" w:hAnsi="Arial" w:cs="Arial"/>
          <w:sz w:val="24"/>
          <w:szCs w:val="24"/>
        </w:rPr>
        <w:t xml:space="preserve">. </w:t>
      </w:r>
      <w:r>
        <w:rPr>
          <w:rFonts w:ascii="Arial" w:hAnsi="Arial" w:cs="Arial"/>
          <w:sz w:val="24"/>
          <w:szCs w:val="24"/>
        </w:rPr>
        <w:t xml:space="preserve">Posteriormente se realizó el </w:t>
      </w:r>
      <w:r w:rsidRPr="00E222E6">
        <w:rPr>
          <w:rFonts w:ascii="Arial" w:hAnsi="Arial" w:cs="Arial"/>
          <w:sz w:val="24"/>
          <w:szCs w:val="24"/>
        </w:rPr>
        <w:t xml:space="preserve">análisis multivariado para definir el modelo significativo asociado a </w:t>
      </w:r>
      <w:r>
        <w:rPr>
          <w:rFonts w:ascii="Arial" w:hAnsi="Arial" w:cs="Arial"/>
          <w:sz w:val="24"/>
          <w:szCs w:val="24"/>
        </w:rPr>
        <w:t xml:space="preserve">la microalbuminuria </w:t>
      </w:r>
      <w:r w:rsidRPr="00E222E6">
        <w:rPr>
          <w:rFonts w:ascii="Arial" w:hAnsi="Arial" w:cs="Arial"/>
          <w:sz w:val="24"/>
          <w:szCs w:val="24"/>
        </w:rPr>
        <w:t>en la población estudiada</w:t>
      </w:r>
      <w:r>
        <w:rPr>
          <w:rFonts w:ascii="Arial" w:hAnsi="Arial" w:cs="Arial"/>
          <w:sz w:val="24"/>
          <w:szCs w:val="24"/>
        </w:rPr>
        <w:t xml:space="preserve">. </w:t>
      </w:r>
      <w:r w:rsidRPr="0082776B">
        <w:rPr>
          <w:rFonts w:ascii="Arial" w:eastAsia="SimSun" w:hAnsi="Arial" w:cs="Arial"/>
          <w:kern w:val="3"/>
          <w:sz w:val="24"/>
          <w:szCs w:val="24"/>
          <w:lang w:eastAsia="zh-CN" w:bidi="hi-IN"/>
        </w:rPr>
        <w:t>Se empleó el paquete estadístico EpiInfo 2000.</w:t>
      </w:r>
      <w:r>
        <w:rPr>
          <w:rFonts w:ascii="Arial" w:eastAsia="SimSun" w:hAnsi="Arial" w:cs="Arial"/>
          <w:kern w:val="3"/>
          <w:sz w:val="24"/>
          <w:szCs w:val="24"/>
          <w:lang w:eastAsia="zh-CN" w:bidi="hi-IN"/>
        </w:rPr>
        <w:t xml:space="preserve"> </w:t>
      </w:r>
    </w:p>
    <w:p w:rsidR="00456CEA" w:rsidRPr="00456CEA" w:rsidRDefault="00456CEA" w:rsidP="00C6585A">
      <w:pPr>
        <w:suppressAutoHyphens/>
        <w:autoSpaceDN w:val="0"/>
        <w:spacing w:after="0" w:line="360" w:lineRule="auto"/>
        <w:jc w:val="both"/>
        <w:textAlignment w:val="baseline"/>
        <w:rPr>
          <w:rFonts w:ascii="Arial" w:eastAsia="Times New Roman" w:hAnsi="Arial" w:cs="Arial"/>
          <w:b/>
          <w:kern w:val="3"/>
          <w:sz w:val="24"/>
          <w:szCs w:val="24"/>
          <w:lang w:eastAsia="zh-CN"/>
        </w:rPr>
      </w:pPr>
      <w:r w:rsidRPr="00456CEA">
        <w:rPr>
          <w:rFonts w:ascii="Arial" w:eastAsia="Times New Roman" w:hAnsi="Arial" w:cs="Arial"/>
          <w:b/>
          <w:kern w:val="3"/>
          <w:sz w:val="24"/>
          <w:szCs w:val="24"/>
          <w:lang w:eastAsia="zh-CN"/>
        </w:rPr>
        <w:t>Criterios de inclusión:</w:t>
      </w:r>
    </w:p>
    <w:p w:rsidR="00456CEA" w:rsidRPr="00456CEA" w:rsidRDefault="00456CEA" w:rsidP="00C6585A">
      <w:pPr>
        <w:numPr>
          <w:ilvl w:val="0"/>
          <w:numId w:val="2"/>
        </w:numPr>
        <w:suppressAutoHyphens/>
        <w:autoSpaceDN w:val="0"/>
        <w:spacing w:after="0" w:line="360" w:lineRule="auto"/>
        <w:jc w:val="both"/>
        <w:textAlignment w:val="baseline"/>
        <w:rPr>
          <w:rFonts w:ascii="Arial" w:eastAsia="Times New Roman" w:hAnsi="Arial" w:cs="Arial"/>
          <w:kern w:val="3"/>
          <w:sz w:val="24"/>
          <w:szCs w:val="24"/>
          <w:lang w:eastAsia="zh-CN"/>
        </w:rPr>
      </w:pPr>
      <w:r w:rsidRPr="00456CEA">
        <w:rPr>
          <w:rFonts w:ascii="Arial" w:eastAsia="Times New Roman" w:hAnsi="Arial" w:cs="Arial"/>
          <w:kern w:val="3"/>
          <w:sz w:val="24"/>
          <w:szCs w:val="24"/>
          <w:lang w:eastAsia="zh-CN"/>
        </w:rPr>
        <w:t>Paci</w:t>
      </w:r>
      <w:r>
        <w:rPr>
          <w:rFonts w:ascii="Arial" w:eastAsia="Times New Roman" w:hAnsi="Arial" w:cs="Arial"/>
          <w:kern w:val="3"/>
          <w:sz w:val="24"/>
          <w:szCs w:val="24"/>
          <w:lang w:eastAsia="zh-CN"/>
        </w:rPr>
        <w:t>entes mayores de 60</w:t>
      </w:r>
      <w:r w:rsidRPr="00456CEA">
        <w:rPr>
          <w:rFonts w:ascii="Arial" w:eastAsia="Times New Roman" w:hAnsi="Arial" w:cs="Arial"/>
          <w:kern w:val="3"/>
          <w:sz w:val="24"/>
          <w:szCs w:val="24"/>
          <w:lang w:eastAsia="zh-CN"/>
        </w:rPr>
        <w:t xml:space="preserve"> años</w:t>
      </w:r>
      <w:r w:rsidR="008711A0">
        <w:rPr>
          <w:rFonts w:ascii="Arial" w:eastAsia="Times New Roman" w:hAnsi="Arial" w:cs="Arial"/>
          <w:kern w:val="3"/>
          <w:sz w:val="24"/>
          <w:szCs w:val="24"/>
          <w:lang w:eastAsia="zh-CN"/>
        </w:rPr>
        <w:t xml:space="preserve"> de ambos sexos</w:t>
      </w:r>
      <w:r>
        <w:rPr>
          <w:rFonts w:ascii="Arial" w:eastAsia="Times New Roman" w:hAnsi="Arial" w:cs="Arial"/>
          <w:kern w:val="3"/>
          <w:sz w:val="24"/>
          <w:szCs w:val="24"/>
          <w:lang w:eastAsia="zh-CN"/>
        </w:rPr>
        <w:t>.</w:t>
      </w:r>
      <w:r w:rsidRPr="00456CEA">
        <w:rPr>
          <w:rFonts w:ascii="Arial" w:eastAsia="Times New Roman" w:hAnsi="Arial" w:cs="Arial"/>
          <w:kern w:val="3"/>
          <w:sz w:val="24"/>
          <w:szCs w:val="24"/>
          <w:lang w:eastAsia="zh-CN"/>
        </w:rPr>
        <w:t xml:space="preserve"> </w:t>
      </w:r>
    </w:p>
    <w:p w:rsidR="00456CEA" w:rsidRDefault="00456CEA" w:rsidP="00C6585A">
      <w:pPr>
        <w:numPr>
          <w:ilvl w:val="0"/>
          <w:numId w:val="2"/>
        </w:numPr>
        <w:suppressAutoHyphens/>
        <w:autoSpaceDN w:val="0"/>
        <w:spacing w:after="0" w:line="360" w:lineRule="auto"/>
        <w:jc w:val="both"/>
        <w:textAlignment w:val="baseline"/>
        <w:rPr>
          <w:rFonts w:ascii="Arial" w:eastAsia="Times New Roman" w:hAnsi="Arial" w:cs="Arial"/>
          <w:kern w:val="3"/>
          <w:sz w:val="24"/>
          <w:szCs w:val="24"/>
          <w:lang w:eastAsia="zh-CN"/>
        </w:rPr>
      </w:pPr>
      <w:r w:rsidRPr="00456CEA">
        <w:rPr>
          <w:rFonts w:ascii="Arial" w:eastAsia="Times New Roman" w:hAnsi="Arial" w:cs="Arial"/>
          <w:kern w:val="3"/>
          <w:sz w:val="24"/>
          <w:szCs w:val="24"/>
          <w:lang w:eastAsia="zh-CN"/>
        </w:rPr>
        <w:t>Consentimiento informado.</w:t>
      </w:r>
    </w:p>
    <w:p w:rsidR="007E4298" w:rsidRPr="00456CEA" w:rsidRDefault="007E4298" w:rsidP="00C6585A">
      <w:pPr>
        <w:numPr>
          <w:ilvl w:val="0"/>
          <w:numId w:val="2"/>
        </w:numPr>
        <w:suppressAutoHyphens/>
        <w:autoSpaceDN w:val="0"/>
        <w:spacing w:after="0" w:line="36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Pertenecer al área de salud del Policlinico Turcios Lima.</w:t>
      </w:r>
    </w:p>
    <w:p w:rsidR="00456CEA" w:rsidRPr="00456CEA" w:rsidRDefault="00456CEA" w:rsidP="00C6585A">
      <w:pPr>
        <w:suppressAutoHyphens/>
        <w:autoSpaceDN w:val="0"/>
        <w:spacing w:after="0" w:line="360" w:lineRule="auto"/>
        <w:jc w:val="both"/>
        <w:textAlignment w:val="baseline"/>
        <w:rPr>
          <w:rFonts w:ascii="Arial" w:eastAsia="Times New Roman" w:hAnsi="Arial" w:cs="Arial"/>
          <w:b/>
          <w:kern w:val="3"/>
          <w:sz w:val="24"/>
          <w:szCs w:val="24"/>
          <w:lang w:eastAsia="zh-CN"/>
        </w:rPr>
      </w:pPr>
      <w:r w:rsidRPr="00456CEA">
        <w:rPr>
          <w:rFonts w:ascii="Arial" w:eastAsia="Times New Roman" w:hAnsi="Arial" w:cs="Arial"/>
          <w:b/>
          <w:kern w:val="3"/>
          <w:sz w:val="24"/>
          <w:szCs w:val="24"/>
          <w:lang w:eastAsia="zh-CN"/>
        </w:rPr>
        <w:t>Criterios de exclusión:</w:t>
      </w:r>
    </w:p>
    <w:p w:rsidR="00456CEA" w:rsidRPr="00456CEA" w:rsidRDefault="00456CEA" w:rsidP="00C6585A">
      <w:pPr>
        <w:numPr>
          <w:ilvl w:val="0"/>
          <w:numId w:val="4"/>
        </w:numPr>
        <w:spacing w:line="360" w:lineRule="auto"/>
        <w:contextualSpacing/>
        <w:rPr>
          <w:rFonts w:ascii="Arial" w:eastAsia="Times New Roman" w:hAnsi="Arial" w:cs="Arial"/>
          <w:kern w:val="3"/>
          <w:sz w:val="24"/>
          <w:szCs w:val="24"/>
          <w:lang w:eastAsia="zh-CN"/>
        </w:rPr>
      </w:pPr>
      <w:r w:rsidRPr="00456CEA">
        <w:rPr>
          <w:rFonts w:ascii="Arial" w:eastAsia="Calibri" w:hAnsi="Arial" w:cs="Arial"/>
          <w:sz w:val="24"/>
          <w:szCs w:val="24"/>
        </w:rPr>
        <w:t>Enfermedad quirúrgica o trauma agudo</w:t>
      </w:r>
      <w:r w:rsidRPr="00456CEA">
        <w:rPr>
          <w:rFonts w:ascii="Calibri" w:eastAsia="Calibri" w:hAnsi="Calibri" w:cs="Times New Roman"/>
          <w:sz w:val="24"/>
          <w:szCs w:val="24"/>
          <w:lang w:val="es-EC"/>
        </w:rPr>
        <w:t xml:space="preserve"> </w:t>
      </w:r>
      <w:r w:rsidRPr="00456CEA">
        <w:rPr>
          <w:rFonts w:ascii="Arial" w:eastAsia="Times New Roman" w:hAnsi="Arial" w:cs="Arial"/>
          <w:kern w:val="3"/>
          <w:sz w:val="24"/>
          <w:szCs w:val="24"/>
          <w:lang w:eastAsia="zh-CN"/>
        </w:rPr>
        <w:t>en los últimos 3 meses.</w:t>
      </w:r>
    </w:p>
    <w:p w:rsidR="00456CEA" w:rsidRPr="00456CEA" w:rsidRDefault="00456CEA" w:rsidP="00C6585A">
      <w:pPr>
        <w:numPr>
          <w:ilvl w:val="0"/>
          <w:numId w:val="3"/>
        </w:numPr>
        <w:suppressAutoHyphens/>
        <w:autoSpaceDN w:val="0"/>
        <w:spacing w:after="0" w:line="360" w:lineRule="auto"/>
        <w:jc w:val="both"/>
        <w:textAlignment w:val="baseline"/>
        <w:rPr>
          <w:rFonts w:ascii="Arial" w:eastAsia="Times New Roman" w:hAnsi="Arial" w:cs="Arial"/>
          <w:kern w:val="3"/>
          <w:sz w:val="24"/>
          <w:szCs w:val="24"/>
          <w:lang w:eastAsia="zh-CN"/>
        </w:rPr>
      </w:pPr>
      <w:r w:rsidRPr="00456CEA">
        <w:rPr>
          <w:rFonts w:ascii="Arial" w:eastAsia="Times New Roman" w:hAnsi="Arial" w:cs="Arial"/>
          <w:kern w:val="3"/>
          <w:sz w:val="24"/>
          <w:szCs w:val="24"/>
          <w:lang w:eastAsia="zh-CN"/>
        </w:rPr>
        <w:t>Sepsis o enfermedad infecciosa en los últimos 3 meses.</w:t>
      </w:r>
    </w:p>
    <w:p w:rsidR="00456CEA" w:rsidRPr="00456CEA" w:rsidRDefault="00456CEA" w:rsidP="00C6585A">
      <w:pPr>
        <w:numPr>
          <w:ilvl w:val="0"/>
          <w:numId w:val="3"/>
        </w:numPr>
        <w:suppressAutoHyphens/>
        <w:autoSpaceDN w:val="0"/>
        <w:spacing w:after="0" w:line="360" w:lineRule="auto"/>
        <w:jc w:val="both"/>
        <w:textAlignment w:val="baseline"/>
        <w:rPr>
          <w:rFonts w:ascii="Arial" w:eastAsia="Times New Roman" w:hAnsi="Arial" w:cs="Arial"/>
          <w:kern w:val="3"/>
          <w:sz w:val="24"/>
          <w:szCs w:val="24"/>
          <w:lang w:eastAsia="zh-CN"/>
        </w:rPr>
      </w:pPr>
      <w:r w:rsidRPr="00456CEA">
        <w:rPr>
          <w:rFonts w:ascii="Arial" w:eastAsia="Times New Roman" w:hAnsi="Arial" w:cs="Arial"/>
          <w:kern w:val="3"/>
          <w:sz w:val="24"/>
          <w:szCs w:val="24"/>
          <w:lang w:eastAsia="zh-CN"/>
        </w:rPr>
        <w:t>Enfermedad psiquiátrica aguda</w:t>
      </w:r>
      <w:r w:rsidRPr="00456CEA">
        <w:rPr>
          <w:rFonts w:ascii="Times New Roman" w:eastAsia="Times New Roman" w:hAnsi="Times New Roman" w:cs="Times New Roman"/>
          <w:kern w:val="3"/>
          <w:sz w:val="24"/>
          <w:szCs w:val="24"/>
          <w:lang w:eastAsia="zh-CN"/>
        </w:rPr>
        <w:t xml:space="preserve"> </w:t>
      </w:r>
      <w:r w:rsidRPr="00456CEA">
        <w:rPr>
          <w:rFonts w:ascii="Arial" w:eastAsia="Times New Roman" w:hAnsi="Arial" w:cs="Arial"/>
          <w:kern w:val="3"/>
          <w:sz w:val="24"/>
          <w:szCs w:val="24"/>
          <w:lang w:eastAsia="zh-CN"/>
        </w:rPr>
        <w:t>en los últimos 3 meses.</w:t>
      </w:r>
    </w:p>
    <w:p w:rsidR="00FE51A5" w:rsidRDefault="00FE51A5" w:rsidP="00C6585A">
      <w:pPr>
        <w:pStyle w:val="Standard"/>
        <w:rPr>
          <w:rFonts w:ascii="Arial" w:hAnsi="Arial" w:cs="Arial"/>
          <w:szCs w:val="24"/>
          <w:lang w:val="es-ES"/>
        </w:rPr>
      </w:pPr>
      <w:r w:rsidRPr="00210604">
        <w:rPr>
          <w:rFonts w:ascii="Arial" w:hAnsi="Arial" w:cs="Arial"/>
          <w:szCs w:val="24"/>
          <w:lang w:val="es-ES"/>
        </w:rPr>
        <w:t>Se tuvo en cuenta el cumplimiento de los principios estipulados en el Código de Núremberg (1947) y la Declaración de Helsinki (1989), la cual contiene las Recomendaciones a los Médicos en la Investigación Biomédica en Seres Humanos y cumpliendo con lo</w:t>
      </w:r>
      <w:r w:rsidR="007E1184">
        <w:rPr>
          <w:rFonts w:ascii="Arial" w:hAnsi="Arial" w:cs="Arial"/>
          <w:szCs w:val="24"/>
          <w:lang w:val="es-ES"/>
        </w:rPr>
        <w:t>s principios de la ética médica.</w:t>
      </w:r>
    </w:p>
    <w:p w:rsidR="00F45F69" w:rsidRDefault="00F45F69" w:rsidP="00C6585A">
      <w:pPr>
        <w:spacing w:after="0" w:line="360" w:lineRule="auto"/>
        <w:rPr>
          <w:rFonts w:ascii="Arial" w:hAnsi="Arial" w:cs="Arial"/>
          <w:b/>
          <w:caps/>
          <w:sz w:val="24"/>
          <w:szCs w:val="24"/>
        </w:rPr>
      </w:pPr>
    </w:p>
    <w:p w:rsidR="00FE51A5" w:rsidRPr="00012844" w:rsidRDefault="006D24A9" w:rsidP="00C6585A">
      <w:pPr>
        <w:spacing w:after="0" w:line="360" w:lineRule="auto"/>
        <w:rPr>
          <w:rFonts w:ascii="Arial" w:hAnsi="Arial" w:cs="Arial"/>
          <w:b/>
          <w:caps/>
          <w:sz w:val="24"/>
          <w:szCs w:val="24"/>
        </w:rPr>
      </w:pPr>
      <w:r w:rsidRPr="00012844">
        <w:rPr>
          <w:rFonts w:ascii="Arial" w:hAnsi="Arial" w:cs="Arial"/>
          <w:b/>
          <w:caps/>
          <w:sz w:val="24"/>
          <w:szCs w:val="24"/>
        </w:rPr>
        <w:t>Resultados</w:t>
      </w:r>
      <w:r w:rsidR="00012844">
        <w:rPr>
          <w:rFonts w:ascii="Arial" w:hAnsi="Arial" w:cs="Arial"/>
          <w:b/>
          <w:caps/>
          <w:sz w:val="24"/>
          <w:szCs w:val="24"/>
        </w:rPr>
        <w:t xml:space="preserve"> y discusión</w:t>
      </w:r>
    </w:p>
    <w:p w:rsidR="006873EB" w:rsidRPr="001656A3" w:rsidRDefault="006873EB" w:rsidP="00C6585A">
      <w:pPr>
        <w:spacing w:after="0" w:line="360" w:lineRule="auto"/>
        <w:jc w:val="both"/>
        <w:rPr>
          <w:rFonts w:ascii="Arial" w:hAnsi="Arial" w:cs="Arial"/>
          <w:b/>
          <w:caps/>
          <w:sz w:val="24"/>
          <w:szCs w:val="24"/>
        </w:rPr>
      </w:pPr>
      <w:r w:rsidRPr="001656A3">
        <w:rPr>
          <w:rFonts w:ascii="Arial" w:hAnsi="Arial" w:cs="Arial"/>
          <w:bCs/>
          <w:sz w:val="24"/>
          <w:szCs w:val="24"/>
          <w:lang w:val="es-EC"/>
        </w:rPr>
        <w:t xml:space="preserve">En el análisis de la distribución de los pacientes por edades y sexo (tabla 1), se encontró que predomino la edad de 60 a 69 años con 850 (65,3%) pacientes, a </w:t>
      </w:r>
      <w:r w:rsidRPr="001656A3">
        <w:rPr>
          <w:rFonts w:ascii="Arial" w:hAnsi="Arial" w:cs="Arial"/>
          <w:bCs/>
          <w:sz w:val="24"/>
          <w:szCs w:val="24"/>
          <w:lang w:val="es-EC"/>
        </w:rPr>
        <w:lastRenderedPageBreak/>
        <w:t>expensas del sexo femenino con 524 (40,3%), de forma altamente significativa (X2= 134,216; gdl=3; P&gt;0,001).</w:t>
      </w:r>
    </w:p>
    <w:p w:rsidR="006873EB" w:rsidRPr="001656A3" w:rsidRDefault="006873EB" w:rsidP="00C6585A">
      <w:pPr>
        <w:spacing w:after="200" w:line="360" w:lineRule="auto"/>
        <w:contextualSpacing/>
        <w:jc w:val="both"/>
        <w:rPr>
          <w:rFonts w:ascii="Arial" w:eastAsia="Calibri" w:hAnsi="Arial" w:cs="Arial"/>
          <w:b/>
          <w:sz w:val="24"/>
          <w:szCs w:val="24"/>
        </w:rPr>
      </w:pPr>
    </w:p>
    <w:p w:rsidR="006873EB" w:rsidRDefault="006873EB" w:rsidP="00C6585A">
      <w:pPr>
        <w:spacing w:after="200" w:line="360" w:lineRule="auto"/>
        <w:contextualSpacing/>
        <w:jc w:val="both"/>
        <w:rPr>
          <w:rFonts w:ascii="Arial" w:eastAsia="Calibri" w:hAnsi="Arial" w:cs="Arial"/>
          <w:b/>
          <w:sz w:val="24"/>
          <w:szCs w:val="24"/>
        </w:rPr>
      </w:pPr>
    </w:p>
    <w:p w:rsidR="006873EB" w:rsidRDefault="006873EB" w:rsidP="00C6585A">
      <w:pPr>
        <w:spacing w:after="200" w:line="360" w:lineRule="auto"/>
        <w:contextualSpacing/>
        <w:jc w:val="both"/>
        <w:rPr>
          <w:rFonts w:ascii="Arial" w:eastAsia="Calibri" w:hAnsi="Arial" w:cs="Arial"/>
          <w:b/>
          <w:sz w:val="24"/>
          <w:szCs w:val="24"/>
        </w:rPr>
      </w:pPr>
    </w:p>
    <w:p w:rsidR="006873EB" w:rsidRPr="001656A3" w:rsidRDefault="006873EB" w:rsidP="00C6585A">
      <w:pPr>
        <w:spacing w:after="200" w:line="360" w:lineRule="auto"/>
        <w:contextualSpacing/>
        <w:jc w:val="both"/>
        <w:rPr>
          <w:rFonts w:ascii="Arial" w:eastAsia="Calibri" w:hAnsi="Arial" w:cs="Arial"/>
          <w:b/>
          <w:sz w:val="24"/>
          <w:szCs w:val="24"/>
        </w:rPr>
      </w:pPr>
      <w:r w:rsidRPr="001656A3">
        <w:rPr>
          <w:rFonts w:ascii="Arial" w:eastAsia="Calibri" w:hAnsi="Arial" w:cs="Arial"/>
          <w:b/>
          <w:sz w:val="24"/>
          <w:szCs w:val="24"/>
        </w:rPr>
        <w:t>Tabla 1. Distribución de los pacientes según edades y sexo.</w:t>
      </w:r>
    </w:p>
    <w:tbl>
      <w:tblPr>
        <w:tblStyle w:val="Tablaconcuadrcula"/>
        <w:tblW w:w="0" w:type="auto"/>
        <w:tblLook w:val="04A0" w:firstRow="1" w:lastRow="0" w:firstColumn="1" w:lastColumn="0" w:noHBand="0" w:noVBand="1"/>
      </w:tblPr>
      <w:tblGrid>
        <w:gridCol w:w="1234"/>
        <w:gridCol w:w="1235"/>
        <w:gridCol w:w="1235"/>
        <w:gridCol w:w="1235"/>
        <w:gridCol w:w="1235"/>
        <w:gridCol w:w="1235"/>
        <w:gridCol w:w="1235"/>
      </w:tblGrid>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Edades</w:t>
            </w:r>
          </w:p>
        </w:tc>
        <w:tc>
          <w:tcPr>
            <w:tcW w:w="2470" w:type="dxa"/>
            <w:gridSpan w:val="2"/>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Masculino</w:t>
            </w:r>
          </w:p>
        </w:tc>
        <w:tc>
          <w:tcPr>
            <w:tcW w:w="2470" w:type="dxa"/>
            <w:gridSpan w:val="2"/>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Femenino</w:t>
            </w:r>
          </w:p>
        </w:tc>
        <w:tc>
          <w:tcPr>
            <w:tcW w:w="2470" w:type="dxa"/>
            <w:gridSpan w:val="2"/>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Total</w:t>
            </w:r>
          </w:p>
        </w:tc>
      </w:tr>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p>
        </w:tc>
        <w:tc>
          <w:tcPr>
            <w:tcW w:w="1235"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No</w:t>
            </w:r>
          </w:p>
        </w:tc>
        <w:tc>
          <w:tcPr>
            <w:tcW w:w="1235"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w:t>
            </w:r>
          </w:p>
        </w:tc>
        <w:tc>
          <w:tcPr>
            <w:tcW w:w="1235"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No</w:t>
            </w:r>
          </w:p>
        </w:tc>
        <w:tc>
          <w:tcPr>
            <w:tcW w:w="1235"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w:t>
            </w:r>
          </w:p>
        </w:tc>
        <w:tc>
          <w:tcPr>
            <w:tcW w:w="1235"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No</w:t>
            </w:r>
          </w:p>
        </w:tc>
        <w:tc>
          <w:tcPr>
            <w:tcW w:w="1235"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w:t>
            </w:r>
          </w:p>
        </w:tc>
      </w:tr>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60-69 años</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326</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25,0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524</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40,3</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850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65,3</w:t>
            </w:r>
          </w:p>
        </w:tc>
      </w:tr>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70-79 años</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201</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15,4</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82</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6,3</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283</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21,7</w:t>
            </w:r>
          </w:p>
        </w:tc>
      </w:tr>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80-89 años</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102</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7,8</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39</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141</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10,8</w:t>
            </w:r>
          </w:p>
        </w:tc>
      </w:tr>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color w:val="303030"/>
                <w:sz w:val="24"/>
                <w:szCs w:val="24"/>
              </w:rPr>
              <w:t>≥</w:t>
            </w:r>
            <w:r w:rsidRPr="001656A3">
              <w:rPr>
                <w:rFonts w:ascii="Arial" w:hAnsi="Arial" w:cs="Arial"/>
                <w:b/>
                <w:sz w:val="24"/>
                <w:szCs w:val="24"/>
              </w:rPr>
              <w:t xml:space="preserve"> 90 años</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21</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1,6</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5</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0,3</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26</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2,0</w:t>
            </w:r>
          </w:p>
        </w:tc>
      </w:tr>
      <w:tr w:rsidR="006873EB" w:rsidRPr="001656A3" w:rsidTr="00A92717">
        <w:tc>
          <w:tcPr>
            <w:tcW w:w="1234"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Total</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650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50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650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50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1300</w:t>
            </w:r>
          </w:p>
        </w:tc>
        <w:tc>
          <w:tcPr>
            <w:tcW w:w="123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100</w:t>
            </w:r>
          </w:p>
        </w:tc>
      </w:tr>
    </w:tbl>
    <w:p w:rsidR="006873EB" w:rsidRPr="001656A3" w:rsidRDefault="006873EB" w:rsidP="00C6585A">
      <w:pPr>
        <w:spacing w:after="0" w:line="360" w:lineRule="auto"/>
        <w:jc w:val="center"/>
        <w:rPr>
          <w:rFonts w:ascii="Arial" w:hAnsi="Arial" w:cs="Arial"/>
          <w:b/>
          <w:caps/>
          <w:sz w:val="24"/>
          <w:szCs w:val="24"/>
        </w:rPr>
      </w:pPr>
      <w:r w:rsidRPr="001656A3">
        <w:rPr>
          <w:rFonts w:ascii="Arial" w:hAnsi="Arial" w:cs="Arial"/>
          <w:bCs/>
          <w:sz w:val="24"/>
          <w:szCs w:val="24"/>
          <w:lang w:val="es-EC"/>
        </w:rPr>
        <w:t>(X2= 134,216; gdl=3; P&gt;0,001)</w:t>
      </w:r>
    </w:p>
    <w:p w:rsidR="006873EB" w:rsidRDefault="006873EB" w:rsidP="00C6585A">
      <w:pPr>
        <w:spacing w:after="0" w:line="360" w:lineRule="auto"/>
        <w:jc w:val="both"/>
        <w:rPr>
          <w:rFonts w:ascii="Arial" w:eastAsia="Calibri" w:hAnsi="Arial" w:cs="Arial"/>
          <w:sz w:val="24"/>
          <w:szCs w:val="24"/>
        </w:rPr>
      </w:pPr>
    </w:p>
    <w:p w:rsidR="006873EB" w:rsidRPr="001656A3" w:rsidRDefault="006873EB" w:rsidP="00C6585A">
      <w:pPr>
        <w:spacing w:after="0" w:line="360" w:lineRule="auto"/>
        <w:jc w:val="both"/>
        <w:rPr>
          <w:rFonts w:ascii="Arial" w:eastAsia="Calibri" w:hAnsi="Arial" w:cs="Arial"/>
          <w:sz w:val="24"/>
          <w:szCs w:val="24"/>
        </w:rPr>
      </w:pPr>
      <w:r w:rsidRPr="001656A3">
        <w:rPr>
          <w:rFonts w:ascii="Arial" w:eastAsia="Calibri" w:hAnsi="Arial" w:cs="Arial"/>
          <w:sz w:val="24"/>
          <w:szCs w:val="24"/>
        </w:rPr>
        <w:t xml:space="preserve">La asociación de microalbuminuria con las características generales de los pacientes en función de los antecedentes patológicos personales (tabla 2). La microalbuminuria estuvo presente en 253 (19,4%) pacientes mayores de 60 años, </w:t>
      </w:r>
      <w:r w:rsidRPr="001656A3">
        <w:rPr>
          <w:rFonts w:ascii="Arial" w:hAnsi="Arial" w:cs="Arial"/>
          <w:color w:val="000000"/>
          <w:sz w:val="24"/>
          <w:szCs w:val="24"/>
        </w:rPr>
        <w:t xml:space="preserve">con un promedio de 68,7 años, media </w:t>
      </w:r>
      <w:r w:rsidRPr="001656A3">
        <w:rPr>
          <w:rFonts w:ascii="Arial" w:hAnsi="Arial" w:cs="Arial"/>
          <w:sz w:val="24"/>
          <w:szCs w:val="24"/>
        </w:rPr>
        <w:t xml:space="preserve">de 77,5 años (IC= 65,1-89,9), Z= 17,11, así </w:t>
      </w:r>
      <w:r w:rsidRPr="001656A3">
        <w:rPr>
          <w:rFonts w:ascii="Arial" w:eastAsia="Calibri" w:hAnsi="Arial" w:cs="Arial"/>
          <w:sz w:val="24"/>
          <w:szCs w:val="24"/>
        </w:rPr>
        <w:t xml:space="preserve">como con antecedentes de HTA en 283 (21,7%), media de 189,5, (IC=170,0-209,0), </w:t>
      </w:r>
      <w:r w:rsidRPr="001656A3">
        <w:rPr>
          <w:rFonts w:ascii="Arial" w:hAnsi="Arial" w:cs="Arial"/>
          <w:sz w:val="24"/>
          <w:szCs w:val="24"/>
        </w:rPr>
        <w:t>Z= 12,92, siendo en ambas muy significativo (</w:t>
      </w:r>
      <w:r w:rsidRPr="001656A3">
        <w:rPr>
          <w:rFonts w:ascii="Arial" w:eastAsia="Calibri" w:hAnsi="Arial" w:cs="Arial"/>
          <w:sz w:val="24"/>
          <w:szCs w:val="24"/>
        </w:rPr>
        <w:t>P&lt;0,01), y con antecedentes de diabetes mellitus en 112 (8,6 %), media de 92,5, (IC=78,9-106,1),</w:t>
      </w:r>
      <w:r w:rsidRPr="001656A3">
        <w:rPr>
          <w:rFonts w:ascii="Arial" w:hAnsi="Arial" w:cs="Arial"/>
          <w:sz w:val="24"/>
          <w:szCs w:val="24"/>
        </w:rPr>
        <w:t xml:space="preserve"> Z= 2,07, </w:t>
      </w:r>
      <w:r w:rsidRPr="001656A3">
        <w:rPr>
          <w:rFonts w:ascii="Arial" w:eastAsia="Calibri" w:hAnsi="Arial" w:cs="Arial"/>
          <w:sz w:val="24"/>
          <w:szCs w:val="24"/>
        </w:rPr>
        <w:t xml:space="preserve"> siendo significativo (P&lt;</w:t>
      </w:r>
      <w:r w:rsidRPr="001656A3">
        <w:rPr>
          <w:rFonts w:ascii="Arial" w:hAnsi="Arial" w:cs="Arial"/>
          <w:bCs/>
          <w:sz w:val="24"/>
          <w:szCs w:val="24"/>
          <w:lang w:val="es-EC"/>
        </w:rPr>
        <w:t>0,05</w:t>
      </w:r>
      <w:r w:rsidRPr="001656A3">
        <w:rPr>
          <w:rFonts w:ascii="Arial" w:eastAsia="Calibri" w:hAnsi="Arial" w:cs="Arial"/>
          <w:sz w:val="24"/>
          <w:szCs w:val="24"/>
        </w:rPr>
        <w:t xml:space="preserve">). </w:t>
      </w:r>
    </w:p>
    <w:p w:rsidR="006873EB" w:rsidRPr="001656A3" w:rsidRDefault="006873EB" w:rsidP="00C6585A">
      <w:pPr>
        <w:spacing w:after="200" w:line="360" w:lineRule="auto"/>
        <w:contextualSpacing/>
        <w:jc w:val="both"/>
        <w:rPr>
          <w:rFonts w:ascii="Arial" w:eastAsia="Calibri" w:hAnsi="Arial" w:cs="Arial"/>
          <w:b/>
          <w:sz w:val="24"/>
          <w:szCs w:val="24"/>
        </w:rPr>
      </w:pPr>
    </w:p>
    <w:p w:rsidR="006873EB" w:rsidRPr="001656A3" w:rsidRDefault="006873EB" w:rsidP="00C6585A">
      <w:pPr>
        <w:spacing w:after="200" w:line="360" w:lineRule="auto"/>
        <w:contextualSpacing/>
        <w:jc w:val="both"/>
        <w:rPr>
          <w:rFonts w:ascii="Arial" w:eastAsia="Calibri" w:hAnsi="Arial" w:cs="Arial"/>
          <w:b/>
          <w:sz w:val="24"/>
          <w:szCs w:val="24"/>
        </w:rPr>
      </w:pPr>
      <w:r w:rsidRPr="001656A3">
        <w:rPr>
          <w:rFonts w:ascii="Arial" w:eastAsia="Calibri" w:hAnsi="Arial" w:cs="Arial"/>
          <w:b/>
          <w:sz w:val="24"/>
          <w:szCs w:val="24"/>
        </w:rPr>
        <w:t>Tabla 2. Características generales de los pacientes.</w:t>
      </w:r>
    </w:p>
    <w:tbl>
      <w:tblPr>
        <w:tblStyle w:val="Tablaconcuadrcula"/>
        <w:tblpPr w:leftFromText="141" w:rightFromText="141" w:vertAnchor="text" w:tblpY="1"/>
        <w:tblOverlap w:val="never"/>
        <w:tblW w:w="8755" w:type="dxa"/>
        <w:tblLayout w:type="fixed"/>
        <w:tblLook w:val="04A0" w:firstRow="1" w:lastRow="0" w:firstColumn="1" w:lastColumn="0" w:noHBand="0" w:noVBand="1"/>
      </w:tblPr>
      <w:tblGrid>
        <w:gridCol w:w="1842"/>
        <w:gridCol w:w="1385"/>
        <w:gridCol w:w="1417"/>
        <w:gridCol w:w="1418"/>
        <w:gridCol w:w="992"/>
        <w:gridCol w:w="1701"/>
      </w:tblGrid>
      <w:tr w:rsidR="006873EB" w:rsidRPr="001656A3" w:rsidTr="00A92717">
        <w:trPr>
          <w:trHeight w:val="435"/>
        </w:trPr>
        <w:tc>
          <w:tcPr>
            <w:tcW w:w="1842" w:type="dxa"/>
          </w:tcPr>
          <w:p w:rsidR="006873EB" w:rsidRPr="001656A3" w:rsidRDefault="006873EB" w:rsidP="00C6585A">
            <w:pPr>
              <w:spacing w:line="360" w:lineRule="auto"/>
              <w:contextualSpacing/>
              <w:jc w:val="both"/>
              <w:rPr>
                <w:rFonts w:ascii="Arial" w:eastAsia="Calibri" w:hAnsi="Arial" w:cs="Arial"/>
                <w:b/>
                <w:sz w:val="24"/>
                <w:szCs w:val="24"/>
              </w:rPr>
            </w:pPr>
          </w:p>
        </w:tc>
        <w:tc>
          <w:tcPr>
            <w:tcW w:w="4220" w:type="dxa"/>
            <w:gridSpan w:val="3"/>
          </w:tcPr>
          <w:p w:rsidR="006873EB" w:rsidRPr="001656A3" w:rsidRDefault="006873EB" w:rsidP="00C6585A">
            <w:pPr>
              <w:spacing w:line="360" w:lineRule="auto"/>
              <w:contextualSpacing/>
              <w:jc w:val="center"/>
              <w:rPr>
                <w:rFonts w:ascii="Arial" w:eastAsia="Calibri" w:hAnsi="Arial" w:cs="Arial"/>
                <w:b/>
                <w:sz w:val="24"/>
                <w:szCs w:val="24"/>
              </w:rPr>
            </w:pPr>
            <w:r w:rsidRPr="001656A3">
              <w:rPr>
                <w:rFonts w:ascii="Arial" w:eastAsia="Calibri" w:hAnsi="Arial" w:cs="Arial"/>
                <w:b/>
                <w:sz w:val="24"/>
                <w:szCs w:val="24"/>
              </w:rPr>
              <w:t>Microalbuminuria</w:t>
            </w:r>
          </w:p>
        </w:tc>
        <w:tc>
          <w:tcPr>
            <w:tcW w:w="992" w:type="dxa"/>
          </w:tcPr>
          <w:p w:rsidR="006873EB" w:rsidRPr="001656A3" w:rsidRDefault="006873EB" w:rsidP="00C6585A">
            <w:pPr>
              <w:spacing w:line="360" w:lineRule="auto"/>
              <w:contextualSpacing/>
              <w:jc w:val="center"/>
              <w:rPr>
                <w:rFonts w:ascii="Arial" w:eastAsia="Calibri" w:hAnsi="Arial" w:cs="Arial"/>
                <w:b/>
                <w:sz w:val="24"/>
                <w:szCs w:val="24"/>
              </w:rPr>
            </w:pPr>
          </w:p>
        </w:tc>
        <w:tc>
          <w:tcPr>
            <w:tcW w:w="1701" w:type="dxa"/>
          </w:tcPr>
          <w:p w:rsidR="006873EB" w:rsidRPr="001656A3" w:rsidRDefault="006873EB" w:rsidP="00C6585A">
            <w:pPr>
              <w:spacing w:line="360" w:lineRule="auto"/>
              <w:contextualSpacing/>
              <w:jc w:val="center"/>
              <w:rPr>
                <w:rFonts w:ascii="Arial" w:eastAsia="Calibri" w:hAnsi="Arial" w:cs="Arial"/>
                <w:b/>
                <w:sz w:val="24"/>
                <w:szCs w:val="24"/>
              </w:rPr>
            </w:pPr>
          </w:p>
        </w:tc>
      </w:tr>
      <w:tr w:rsidR="006873EB" w:rsidRPr="001656A3" w:rsidTr="00A92717">
        <w:trPr>
          <w:trHeight w:val="435"/>
        </w:trPr>
        <w:tc>
          <w:tcPr>
            <w:tcW w:w="1842" w:type="dxa"/>
          </w:tcPr>
          <w:p w:rsidR="006873EB" w:rsidRPr="001656A3" w:rsidRDefault="006873EB" w:rsidP="00C6585A">
            <w:pPr>
              <w:spacing w:line="360" w:lineRule="auto"/>
              <w:contextualSpacing/>
              <w:jc w:val="both"/>
              <w:rPr>
                <w:rFonts w:ascii="Arial" w:eastAsia="Calibri" w:hAnsi="Arial" w:cs="Arial"/>
                <w:b/>
                <w:sz w:val="24"/>
                <w:szCs w:val="24"/>
              </w:rPr>
            </w:pPr>
            <w:r w:rsidRPr="001656A3">
              <w:rPr>
                <w:rFonts w:ascii="Arial" w:eastAsia="Calibri" w:hAnsi="Arial" w:cs="Arial"/>
                <w:b/>
                <w:sz w:val="24"/>
                <w:szCs w:val="24"/>
              </w:rPr>
              <w:t>Característica</w:t>
            </w:r>
          </w:p>
        </w:tc>
        <w:tc>
          <w:tcPr>
            <w:tcW w:w="1385" w:type="dxa"/>
          </w:tcPr>
          <w:p w:rsidR="006873EB" w:rsidRPr="001656A3" w:rsidRDefault="006873EB" w:rsidP="00C6585A">
            <w:pPr>
              <w:spacing w:line="360" w:lineRule="auto"/>
              <w:contextualSpacing/>
              <w:jc w:val="center"/>
              <w:rPr>
                <w:rFonts w:ascii="Arial" w:eastAsia="Calibri" w:hAnsi="Arial" w:cs="Arial"/>
                <w:b/>
                <w:sz w:val="24"/>
                <w:szCs w:val="24"/>
              </w:rPr>
            </w:pPr>
            <w:r w:rsidRPr="001656A3">
              <w:rPr>
                <w:rFonts w:ascii="Arial" w:eastAsia="Calibri" w:hAnsi="Arial" w:cs="Arial"/>
                <w:b/>
                <w:sz w:val="24"/>
                <w:szCs w:val="24"/>
              </w:rPr>
              <w:t>Presente</w:t>
            </w:r>
          </w:p>
        </w:tc>
        <w:tc>
          <w:tcPr>
            <w:tcW w:w="1417" w:type="dxa"/>
          </w:tcPr>
          <w:p w:rsidR="006873EB" w:rsidRPr="001656A3" w:rsidRDefault="006873EB" w:rsidP="00C6585A">
            <w:pPr>
              <w:spacing w:line="360" w:lineRule="auto"/>
              <w:contextualSpacing/>
              <w:jc w:val="center"/>
              <w:rPr>
                <w:rFonts w:ascii="Arial" w:eastAsia="Calibri" w:hAnsi="Arial" w:cs="Arial"/>
                <w:b/>
                <w:sz w:val="24"/>
                <w:szCs w:val="24"/>
              </w:rPr>
            </w:pPr>
            <w:r w:rsidRPr="001656A3">
              <w:rPr>
                <w:rFonts w:ascii="Arial" w:eastAsia="Calibri" w:hAnsi="Arial" w:cs="Arial"/>
                <w:b/>
                <w:sz w:val="24"/>
                <w:szCs w:val="24"/>
              </w:rPr>
              <w:t>Ausente</w:t>
            </w:r>
          </w:p>
        </w:tc>
        <w:tc>
          <w:tcPr>
            <w:tcW w:w="1418" w:type="dxa"/>
          </w:tcPr>
          <w:p w:rsidR="006873EB" w:rsidRPr="001656A3" w:rsidRDefault="006873EB" w:rsidP="00C6585A">
            <w:pPr>
              <w:spacing w:line="360" w:lineRule="auto"/>
              <w:contextualSpacing/>
              <w:jc w:val="center"/>
              <w:rPr>
                <w:rFonts w:ascii="Arial" w:eastAsia="Calibri" w:hAnsi="Arial" w:cs="Arial"/>
                <w:b/>
                <w:sz w:val="24"/>
                <w:szCs w:val="24"/>
              </w:rPr>
            </w:pPr>
            <w:r w:rsidRPr="001656A3">
              <w:rPr>
                <w:rFonts w:ascii="Arial" w:eastAsia="Calibri" w:hAnsi="Arial" w:cs="Arial"/>
                <w:b/>
                <w:sz w:val="24"/>
                <w:szCs w:val="24"/>
              </w:rPr>
              <w:t>Total</w:t>
            </w:r>
          </w:p>
        </w:tc>
        <w:tc>
          <w:tcPr>
            <w:tcW w:w="992"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Media</w:t>
            </w:r>
          </w:p>
        </w:tc>
        <w:tc>
          <w:tcPr>
            <w:tcW w:w="1701" w:type="dxa"/>
          </w:tcPr>
          <w:p w:rsidR="006873EB" w:rsidRPr="001656A3" w:rsidRDefault="006873EB" w:rsidP="00C6585A">
            <w:pPr>
              <w:spacing w:line="360" w:lineRule="auto"/>
              <w:jc w:val="center"/>
              <w:rPr>
                <w:rFonts w:ascii="Arial" w:hAnsi="Arial" w:cs="Arial"/>
                <w:b/>
                <w:sz w:val="24"/>
                <w:szCs w:val="24"/>
              </w:rPr>
            </w:pPr>
            <w:r w:rsidRPr="001656A3">
              <w:rPr>
                <w:rFonts w:ascii="Arial" w:hAnsi="Arial" w:cs="Arial"/>
                <w:b/>
                <w:sz w:val="24"/>
                <w:szCs w:val="24"/>
              </w:rPr>
              <w:t>Z</w:t>
            </w:r>
          </w:p>
        </w:tc>
      </w:tr>
      <w:tr w:rsidR="006873EB" w:rsidRPr="001656A3" w:rsidTr="00A92717">
        <w:trPr>
          <w:trHeight w:val="390"/>
        </w:trPr>
        <w:tc>
          <w:tcPr>
            <w:tcW w:w="1842" w:type="dxa"/>
          </w:tcPr>
          <w:p w:rsidR="006873EB" w:rsidRPr="001656A3" w:rsidRDefault="006873EB" w:rsidP="00C6585A">
            <w:pPr>
              <w:spacing w:line="360" w:lineRule="auto"/>
              <w:contextualSpacing/>
              <w:jc w:val="both"/>
              <w:rPr>
                <w:rFonts w:ascii="Arial" w:eastAsia="Calibri" w:hAnsi="Arial" w:cs="Arial"/>
                <w:b/>
                <w:sz w:val="24"/>
                <w:szCs w:val="24"/>
              </w:rPr>
            </w:pPr>
          </w:p>
        </w:tc>
        <w:tc>
          <w:tcPr>
            <w:tcW w:w="1385" w:type="dxa"/>
          </w:tcPr>
          <w:p w:rsidR="006873EB" w:rsidRPr="001656A3" w:rsidRDefault="006873EB" w:rsidP="00C6585A">
            <w:pPr>
              <w:spacing w:line="360" w:lineRule="auto"/>
              <w:contextualSpacing/>
              <w:jc w:val="center"/>
              <w:rPr>
                <w:rFonts w:ascii="Arial" w:eastAsia="Calibri" w:hAnsi="Arial" w:cs="Arial"/>
                <w:b/>
                <w:sz w:val="24"/>
                <w:szCs w:val="24"/>
              </w:rPr>
            </w:pPr>
          </w:p>
        </w:tc>
        <w:tc>
          <w:tcPr>
            <w:tcW w:w="1417" w:type="dxa"/>
          </w:tcPr>
          <w:p w:rsidR="006873EB" w:rsidRPr="001656A3" w:rsidRDefault="006873EB" w:rsidP="00C6585A">
            <w:pPr>
              <w:spacing w:line="360" w:lineRule="auto"/>
              <w:contextualSpacing/>
              <w:jc w:val="center"/>
              <w:rPr>
                <w:rFonts w:ascii="Arial" w:eastAsia="Calibri" w:hAnsi="Arial" w:cs="Arial"/>
                <w:b/>
                <w:sz w:val="24"/>
                <w:szCs w:val="24"/>
              </w:rPr>
            </w:pPr>
          </w:p>
        </w:tc>
        <w:tc>
          <w:tcPr>
            <w:tcW w:w="1418" w:type="dxa"/>
          </w:tcPr>
          <w:p w:rsidR="006873EB" w:rsidRPr="001656A3" w:rsidRDefault="006873EB" w:rsidP="00C6585A">
            <w:pPr>
              <w:spacing w:line="360" w:lineRule="auto"/>
              <w:contextualSpacing/>
              <w:jc w:val="center"/>
              <w:rPr>
                <w:rFonts w:ascii="Arial" w:eastAsia="Calibri" w:hAnsi="Arial" w:cs="Arial"/>
                <w:b/>
                <w:sz w:val="24"/>
                <w:szCs w:val="24"/>
              </w:rPr>
            </w:pPr>
          </w:p>
        </w:tc>
        <w:tc>
          <w:tcPr>
            <w:tcW w:w="992" w:type="dxa"/>
          </w:tcPr>
          <w:p w:rsidR="006873EB" w:rsidRPr="001656A3" w:rsidRDefault="006873EB" w:rsidP="00C6585A">
            <w:pPr>
              <w:spacing w:line="360" w:lineRule="auto"/>
              <w:jc w:val="center"/>
              <w:rPr>
                <w:rFonts w:ascii="Arial" w:hAnsi="Arial" w:cs="Arial"/>
                <w:sz w:val="24"/>
                <w:szCs w:val="24"/>
              </w:rPr>
            </w:pPr>
          </w:p>
        </w:tc>
        <w:tc>
          <w:tcPr>
            <w:tcW w:w="1701" w:type="dxa"/>
          </w:tcPr>
          <w:p w:rsidR="006873EB" w:rsidRPr="001656A3" w:rsidRDefault="006873EB" w:rsidP="00C6585A">
            <w:pPr>
              <w:spacing w:line="360" w:lineRule="auto"/>
              <w:jc w:val="center"/>
              <w:rPr>
                <w:rFonts w:ascii="Arial" w:hAnsi="Arial" w:cs="Arial"/>
                <w:sz w:val="24"/>
                <w:szCs w:val="24"/>
              </w:rPr>
            </w:pP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 xml:space="preserve">Edad&gt;60 años </w:t>
            </w:r>
            <w:r w:rsidRPr="001656A3">
              <w:rPr>
                <w:rFonts w:ascii="Arial" w:eastAsia="Calibri" w:hAnsi="Arial" w:cs="Arial"/>
                <w:sz w:val="24"/>
                <w:szCs w:val="24"/>
              </w:rPr>
              <w:lastRenderedPageBreak/>
              <w:t>(Promedio</w:t>
            </w:r>
            <w:r w:rsidRPr="001656A3">
              <w:rPr>
                <w:rFonts w:ascii="Arial" w:hAnsi="Arial" w:cs="Arial"/>
                <w:sz w:val="24"/>
                <w:szCs w:val="24"/>
              </w:rPr>
              <w:t>)</w:t>
            </w:r>
          </w:p>
        </w:tc>
        <w:tc>
          <w:tcPr>
            <w:tcW w:w="138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lastRenderedPageBreak/>
              <w:t xml:space="preserve">68,7 </w:t>
            </w:r>
          </w:p>
          <w:p w:rsidR="006873EB" w:rsidRPr="001656A3" w:rsidRDefault="006873EB" w:rsidP="00C6585A">
            <w:pPr>
              <w:spacing w:line="360" w:lineRule="auto"/>
              <w:jc w:val="center"/>
              <w:rPr>
                <w:rFonts w:ascii="Arial" w:hAnsi="Arial" w:cs="Arial"/>
                <w:sz w:val="24"/>
                <w:szCs w:val="24"/>
              </w:rPr>
            </w:pPr>
          </w:p>
        </w:tc>
        <w:tc>
          <w:tcPr>
            <w:tcW w:w="1417"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lastRenderedPageBreak/>
              <w:t xml:space="preserve">68,7 </w:t>
            </w:r>
          </w:p>
          <w:p w:rsidR="006873EB" w:rsidRPr="001656A3" w:rsidRDefault="006873EB" w:rsidP="00C6585A">
            <w:pPr>
              <w:spacing w:line="360" w:lineRule="auto"/>
              <w:jc w:val="center"/>
              <w:rPr>
                <w:rFonts w:ascii="Arial" w:hAnsi="Arial" w:cs="Arial"/>
                <w:sz w:val="24"/>
                <w:szCs w:val="24"/>
              </w:rPr>
            </w:pPr>
          </w:p>
        </w:tc>
        <w:tc>
          <w:tcPr>
            <w:tcW w:w="1418"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lastRenderedPageBreak/>
              <w:t xml:space="preserve">68,8 </w:t>
            </w:r>
          </w:p>
        </w:tc>
        <w:tc>
          <w:tcPr>
            <w:tcW w:w="992"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77,5</w:t>
            </w:r>
          </w:p>
        </w:tc>
        <w:tc>
          <w:tcPr>
            <w:tcW w:w="1701"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17,11</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lastRenderedPageBreak/>
              <w:t>(P&lt;0,001)</w:t>
            </w:r>
          </w:p>
          <w:p w:rsidR="006873EB" w:rsidRPr="001656A3" w:rsidRDefault="006873EB" w:rsidP="00C6585A">
            <w:pPr>
              <w:spacing w:line="360" w:lineRule="auto"/>
              <w:jc w:val="center"/>
              <w:rPr>
                <w:rFonts w:ascii="Arial" w:hAnsi="Arial" w:cs="Arial"/>
                <w:sz w:val="24"/>
                <w:szCs w:val="24"/>
              </w:rPr>
            </w:pP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lastRenderedPageBreak/>
              <w:t>Sexo masculino (%)</w:t>
            </w:r>
          </w:p>
        </w:tc>
        <w:tc>
          <w:tcPr>
            <w:tcW w:w="138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302 (46,4)</w:t>
            </w:r>
          </w:p>
        </w:tc>
        <w:tc>
          <w:tcPr>
            <w:tcW w:w="1417"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348 (53,5)</w:t>
            </w:r>
          </w:p>
        </w:tc>
        <w:tc>
          <w:tcPr>
            <w:tcW w:w="1418"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650 (50)</w:t>
            </w:r>
          </w:p>
        </w:tc>
        <w:tc>
          <w:tcPr>
            <w:tcW w:w="992"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325,0</w:t>
            </w:r>
          </w:p>
        </w:tc>
        <w:tc>
          <w:tcPr>
            <w:tcW w:w="1701"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’-12,73</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w:t>
            </w:r>
            <w:r w:rsidRPr="001656A3">
              <w:rPr>
                <w:rFonts w:ascii="Arial" w:hAnsi="Arial" w:cs="Arial"/>
                <w:bCs/>
                <w:sz w:val="24"/>
                <w:szCs w:val="24"/>
                <w:lang w:val="es-EC"/>
              </w:rPr>
              <w:t>&gt;0,05</w:t>
            </w:r>
            <w:r w:rsidRPr="001656A3">
              <w:rPr>
                <w:rFonts w:ascii="Arial" w:eastAsia="Calibri" w:hAnsi="Arial" w:cs="Arial"/>
                <w:sz w:val="24"/>
                <w:szCs w:val="24"/>
              </w:rPr>
              <w:t>)</w:t>
            </w:r>
          </w:p>
          <w:p w:rsidR="006873EB" w:rsidRPr="001656A3" w:rsidRDefault="006873EB" w:rsidP="00C6585A">
            <w:pPr>
              <w:spacing w:line="360" w:lineRule="auto"/>
              <w:jc w:val="center"/>
              <w:rPr>
                <w:rFonts w:ascii="Arial" w:hAnsi="Arial" w:cs="Arial"/>
                <w:sz w:val="24"/>
                <w:szCs w:val="24"/>
              </w:rPr>
            </w:pP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Hábito de fumar (%)</w:t>
            </w:r>
          </w:p>
        </w:tc>
        <w:tc>
          <w:tcPr>
            <w:tcW w:w="1385"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141 (10,8)</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120 (9,2)</w:t>
            </w:r>
          </w:p>
        </w:tc>
        <w:tc>
          <w:tcPr>
            <w:tcW w:w="1418"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261 (20,0)</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130,5</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0,17</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w:t>
            </w:r>
            <w:r w:rsidRPr="001656A3">
              <w:rPr>
                <w:rFonts w:ascii="Arial" w:hAnsi="Arial" w:cs="Arial"/>
                <w:bCs/>
                <w:sz w:val="24"/>
                <w:szCs w:val="24"/>
                <w:lang w:val="es-EC"/>
              </w:rPr>
              <w:t>&gt;0,05</w:t>
            </w:r>
            <w:r w:rsidRPr="001656A3">
              <w:rPr>
                <w:rFonts w:ascii="Arial" w:eastAsia="Calibri" w:hAnsi="Arial" w:cs="Arial"/>
                <w:sz w:val="24"/>
                <w:szCs w:val="24"/>
              </w:rPr>
              <w:t>)</w:t>
            </w: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Ingesta de alcohol (%)</w:t>
            </w:r>
          </w:p>
        </w:tc>
        <w:tc>
          <w:tcPr>
            <w:tcW w:w="1385"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21 (1,6)</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13 (1)</w:t>
            </w:r>
          </w:p>
        </w:tc>
        <w:tc>
          <w:tcPr>
            <w:tcW w:w="1418"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34 (2,6)</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17,0</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1,36</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w:t>
            </w:r>
            <w:r w:rsidRPr="001656A3">
              <w:rPr>
                <w:rFonts w:ascii="Arial" w:hAnsi="Arial" w:cs="Arial"/>
                <w:bCs/>
                <w:sz w:val="24"/>
                <w:szCs w:val="24"/>
                <w:lang w:val="es-EC"/>
              </w:rPr>
              <w:t>&gt;0,05</w:t>
            </w:r>
            <w:r w:rsidRPr="001656A3">
              <w:rPr>
                <w:rFonts w:ascii="Arial" w:eastAsia="Calibri" w:hAnsi="Arial" w:cs="Arial"/>
                <w:sz w:val="24"/>
                <w:szCs w:val="24"/>
              </w:rPr>
              <w:t>)</w:t>
            </w: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Diabetes M (%)</w:t>
            </w:r>
          </w:p>
        </w:tc>
        <w:tc>
          <w:tcPr>
            <w:tcW w:w="1385"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112 (8,6)</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73 (5,6)</w:t>
            </w:r>
          </w:p>
        </w:tc>
        <w:tc>
          <w:tcPr>
            <w:tcW w:w="1418"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185 (14,2)</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92,5</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2,07</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(P&lt;</w:t>
            </w:r>
            <w:r w:rsidRPr="001656A3">
              <w:rPr>
                <w:rFonts w:ascii="Arial" w:hAnsi="Arial" w:cs="Arial"/>
                <w:bCs/>
                <w:sz w:val="24"/>
                <w:szCs w:val="24"/>
                <w:lang w:val="es-EC"/>
              </w:rPr>
              <w:t>0,05</w:t>
            </w:r>
            <w:r w:rsidRPr="001656A3">
              <w:rPr>
                <w:rFonts w:ascii="Arial" w:eastAsia="Calibri" w:hAnsi="Arial" w:cs="Arial"/>
                <w:sz w:val="24"/>
                <w:szCs w:val="24"/>
              </w:rPr>
              <w:t>)</w:t>
            </w: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HTA (%)</w:t>
            </w:r>
          </w:p>
        </w:tc>
        <w:tc>
          <w:tcPr>
            <w:tcW w:w="1385"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283 (21,7)</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96 (7,3)</w:t>
            </w:r>
          </w:p>
        </w:tc>
        <w:tc>
          <w:tcPr>
            <w:tcW w:w="1418"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379 (29,1)</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189,5</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12,92</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(P&lt;0,001)</w:t>
            </w: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Enfermedad cardiovascular (%)</w:t>
            </w:r>
          </w:p>
        </w:tc>
        <w:tc>
          <w:tcPr>
            <w:tcW w:w="1385"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34 (0,2)</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10 (0,07)</w:t>
            </w:r>
          </w:p>
        </w:tc>
        <w:tc>
          <w:tcPr>
            <w:tcW w:w="1418"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44 (3,3)</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22,0</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0,04</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w:t>
            </w:r>
            <w:r w:rsidRPr="001656A3">
              <w:rPr>
                <w:rFonts w:ascii="Arial" w:hAnsi="Arial" w:cs="Arial"/>
                <w:bCs/>
                <w:sz w:val="24"/>
                <w:szCs w:val="24"/>
                <w:lang w:val="es-EC"/>
              </w:rPr>
              <w:t>&gt;0,05</w:t>
            </w:r>
            <w:r w:rsidRPr="001656A3">
              <w:rPr>
                <w:rFonts w:ascii="Arial" w:eastAsia="Calibri" w:hAnsi="Arial" w:cs="Arial"/>
                <w:sz w:val="24"/>
                <w:szCs w:val="24"/>
              </w:rPr>
              <w:t>)</w:t>
            </w:r>
          </w:p>
          <w:p w:rsidR="006873EB" w:rsidRPr="001656A3" w:rsidRDefault="006873EB" w:rsidP="00C6585A">
            <w:pPr>
              <w:spacing w:line="360" w:lineRule="auto"/>
              <w:contextualSpacing/>
              <w:jc w:val="center"/>
              <w:rPr>
                <w:rFonts w:ascii="Arial" w:eastAsia="Calibri" w:hAnsi="Arial" w:cs="Arial"/>
                <w:sz w:val="24"/>
                <w:szCs w:val="24"/>
              </w:rPr>
            </w:pPr>
          </w:p>
        </w:tc>
      </w:tr>
      <w:tr w:rsidR="006873EB" w:rsidRPr="001656A3" w:rsidTr="00A92717">
        <w:tc>
          <w:tcPr>
            <w:tcW w:w="1842"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Obesidad (%)</w:t>
            </w:r>
          </w:p>
        </w:tc>
        <w:tc>
          <w:tcPr>
            <w:tcW w:w="1385"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253 (19,4)</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110 (18,4)</w:t>
            </w:r>
          </w:p>
        </w:tc>
        <w:tc>
          <w:tcPr>
            <w:tcW w:w="1418"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363 (27,9)</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162,4</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0,97</w:t>
            </w:r>
          </w:p>
          <w:p w:rsidR="006873EB" w:rsidRPr="001656A3" w:rsidRDefault="006873EB" w:rsidP="00C6585A">
            <w:pPr>
              <w:spacing w:line="360" w:lineRule="auto"/>
              <w:jc w:val="center"/>
              <w:rPr>
                <w:rFonts w:ascii="Arial" w:hAnsi="Arial" w:cs="Arial"/>
                <w:sz w:val="24"/>
                <w:szCs w:val="24"/>
              </w:rPr>
            </w:pPr>
            <w:r w:rsidRPr="001656A3">
              <w:rPr>
                <w:rFonts w:ascii="Arial" w:eastAsia="Calibri" w:hAnsi="Arial" w:cs="Arial"/>
                <w:sz w:val="24"/>
                <w:szCs w:val="24"/>
              </w:rPr>
              <w:t>(P</w:t>
            </w:r>
            <w:r w:rsidRPr="001656A3">
              <w:rPr>
                <w:rFonts w:ascii="Arial" w:hAnsi="Arial" w:cs="Arial"/>
                <w:bCs/>
                <w:sz w:val="24"/>
                <w:szCs w:val="24"/>
                <w:lang w:val="es-EC"/>
              </w:rPr>
              <w:t>&gt;0,05</w:t>
            </w:r>
            <w:r w:rsidRPr="001656A3">
              <w:rPr>
                <w:rFonts w:ascii="Arial" w:eastAsia="Calibri" w:hAnsi="Arial" w:cs="Arial"/>
                <w:sz w:val="24"/>
                <w:szCs w:val="24"/>
              </w:rPr>
              <w:t>)</w:t>
            </w:r>
          </w:p>
        </w:tc>
      </w:tr>
      <w:tr w:rsidR="006873EB" w:rsidRPr="001656A3" w:rsidTr="00A92717">
        <w:tc>
          <w:tcPr>
            <w:tcW w:w="1842" w:type="dxa"/>
          </w:tcPr>
          <w:p w:rsidR="006873EB" w:rsidRPr="001656A3" w:rsidRDefault="006873EB" w:rsidP="00C6585A">
            <w:pPr>
              <w:spacing w:line="360" w:lineRule="auto"/>
              <w:rPr>
                <w:rFonts w:ascii="Arial" w:hAnsi="Arial" w:cs="Arial"/>
                <w:sz w:val="24"/>
                <w:szCs w:val="24"/>
              </w:rPr>
            </w:pPr>
            <w:r w:rsidRPr="001656A3">
              <w:rPr>
                <w:rFonts w:ascii="Arial" w:hAnsi="Arial" w:cs="Arial"/>
                <w:sz w:val="24"/>
                <w:szCs w:val="24"/>
              </w:rPr>
              <w:t>Hiperlipidemia (%)</w:t>
            </w:r>
          </w:p>
        </w:tc>
        <w:tc>
          <w:tcPr>
            <w:tcW w:w="1385"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63 (4,8)</w:t>
            </w:r>
          </w:p>
        </w:tc>
        <w:tc>
          <w:tcPr>
            <w:tcW w:w="1417"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13 (1)</w:t>
            </w:r>
          </w:p>
        </w:tc>
        <w:tc>
          <w:tcPr>
            <w:tcW w:w="1418"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76 (5,8)</w:t>
            </w:r>
          </w:p>
        </w:tc>
        <w:tc>
          <w:tcPr>
            <w:tcW w:w="992"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38,0</w:t>
            </w:r>
          </w:p>
        </w:tc>
        <w:tc>
          <w:tcPr>
            <w:tcW w:w="1701"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1,26</w:t>
            </w:r>
          </w:p>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(P</w:t>
            </w:r>
            <w:r w:rsidRPr="001656A3">
              <w:rPr>
                <w:rFonts w:ascii="Arial" w:hAnsi="Arial" w:cs="Arial"/>
                <w:bCs/>
                <w:sz w:val="24"/>
                <w:szCs w:val="24"/>
                <w:lang w:val="es-EC"/>
              </w:rPr>
              <w:t>&gt;0,05</w:t>
            </w:r>
            <w:r w:rsidRPr="001656A3">
              <w:rPr>
                <w:rFonts w:ascii="Arial" w:eastAsia="Calibri" w:hAnsi="Arial" w:cs="Arial"/>
                <w:sz w:val="24"/>
                <w:szCs w:val="24"/>
              </w:rPr>
              <w:t>)</w:t>
            </w:r>
          </w:p>
        </w:tc>
      </w:tr>
    </w:tbl>
    <w:p w:rsidR="006873EB" w:rsidRPr="001656A3" w:rsidRDefault="006873EB" w:rsidP="00C6585A">
      <w:pPr>
        <w:spacing w:after="0" w:line="360" w:lineRule="auto"/>
        <w:jc w:val="both"/>
        <w:rPr>
          <w:rFonts w:ascii="Arial" w:hAnsi="Arial" w:cs="Arial"/>
          <w:sz w:val="24"/>
          <w:szCs w:val="24"/>
        </w:rPr>
      </w:pPr>
    </w:p>
    <w:p w:rsidR="006873EB" w:rsidRDefault="006873EB" w:rsidP="00C6585A">
      <w:pPr>
        <w:spacing w:after="0" w:line="360" w:lineRule="auto"/>
        <w:jc w:val="both"/>
        <w:rPr>
          <w:rFonts w:ascii="Arial" w:hAnsi="Arial" w:cs="Arial"/>
          <w:sz w:val="24"/>
          <w:szCs w:val="24"/>
        </w:rPr>
      </w:pPr>
      <w:r w:rsidRPr="001656A3">
        <w:rPr>
          <w:rFonts w:ascii="Arial" w:hAnsi="Arial" w:cs="Arial"/>
          <w:sz w:val="24"/>
          <w:szCs w:val="24"/>
        </w:rPr>
        <w:t xml:space="preserve">La prevalencia general de microalbuminuria  fue del 19,4 %, debido a la mayor sensibilidad del método empleado para esta determinación. De las 253 (100 %) muestras que tuvieron positividad a la albúmina, solo 153  (60%) presentaron proteínas en el examen de orina; las  restantes resultaron negativas a proteínas, lo cual indica que pasaron como casos con proteinuria negativa, siendo pacientes que estaban eliminando albúmina en la orina. </w:t>
      </w:r>
    </w:p>
    <w:p w:rsidR="006873EB" w:rsidRPr="001656A3" w:rsidRDefault="006873EB" w:rsidP="00C6585A">
      <w:pPr>
        <w:spacing w:after="0" w:line="360" w:lineRule="auto"/>
        <w:jc w:val="both"/>
        <w:rPr>
          <w:rFonts w:ascii="Arial" w:hAnsi="Arial" w:cs="Arial"/>
          <w:sz w:val="24"/>
          <w:szCs w:val="24"/>
        </w:rPr>
      </w:pPr>
      <w:r w:rsidRPr="001656A3">
        <w:rPr>
          <w:rFonts w:ascii="Arial" w:hAnsi="Arial" w:cs="Arial"/>
          <w:color w:val="000000"/>
          <w:sz w:val="24"/>
          <w:szCs w:val="24"/>
        </w:rPr>
        <w:t xml:space="preserve">En el estudio de </w:t>
      </w:r>
      <w:r w:rsidRPr="001656A3">
        <w:rPr>
          <w:rFonts w:ascii="Arial" w:hAnsi="Arial" w:cs="Arial"/>
          <w:bCs/>
          <w:color w:val="000000"/>
          <w:sz w:val="24"/>
          <w:szCs w:val="24"/>
        </w:rPr>
        <w:t>Márquez Falcón</w:t>
      </w:r>
      <w:r w:rsidRPr="001656A3">
        <w:rPr>
          <w:rFonts w:ascii="Arial" w:hAnsi="Arial" w:cs="Arial"/>
          <w:sz w:val="24"/>
          <w:szCs w:val="24"/>
        </w:rPr>
        <w:t xml:space="preserve"> A, y colaboradores </w:t>
      </w:r>
      <w:r w:rsidRPr="001656A3">
        <w:rPr>
          <w:rFonts w:ascii="Arial" w:hAnsi="Arial" w:cs="Arial"/>
          <w:sz w:val="24"/>
          <w:szCs w:val="24"/>
          <w:vertAlign w:val="superscript"/>
        </w:rPr>
        <w:t>(9)</w:t>
      </w:r>
      <w:r w:rsidRPr="001656A3">
        <w:rPr>
          <w:rFonts w:ascii="Arial" w:hAnsi="Arial" w:cs="Arial"/>
          <w:sz w:val="24"/>
          <w:szCs w:val="24"/>
        </w:rPr>
        <w:t xml:space="preserve">, </w:t>
      </w:r>
      <w:r w:rsidRPr="001656A3">
        <w:rPr>
          <w:rFonts w:ascii="Arial" w:hAnsi="Arial" w:cs="Arial"/>
          <w:color w:val="000000"/>
          <w:sz w:val="24"/>
          <w:szCs w:val="24"/>
        </w:rPr>
        <w:t>el 38,6% de los pacientes estudiados presentaron microalbuminuria elevada, y el 32,4% de estos tenía una retinopatía diabética proliferativa con mal control metabólico.</w:t>
      </w:r>
    </w:p>
    <w:p w:rsidR="006873EB" w:rsidRPr="001656A3" w:rsidRDefault="006873EB" w:rsidP="00C6585A">
      <w:pPr>
        <w:spacing w:after="0" w:line="360" w:lineRule="auto"/>
        <w:jc w:val="both"/>
        <w:rPr>
          <w:rFonts w:ascii="Arial" w:hAnsi="Arial" w:cs="Arial"/>
          <w:sz w:val="24"/>
          <w:szCs w:val="24"/>
        </w:rPr>
      </w:pPr>
      <w:r w:rsidRPr="001656A3">
        <w:rPr>
          <w:rFonts w:ascii="Arial" w:hAnsi="Arial" w:cs="Arial"/>
          <w:sz w:val="24"/>
          <w:szCs w:val="24"/>
        </w:rPr>
        <w:t xml:space="preserve">En otro estudio de Hinojoza-Alarcón G, y colaboradores </w:t>
      </w:r>
      <w:r w:rsidRPr="001656A3">
        <w:rPr>
          <w:rFonts w:ascii="Arial" w:hAnsi="Arial" w:cs="Arial"/>
          <w:sz w:val="24"/>
          <w:szCs w:val="24"/>
          <w:vertAlign w:val="superscript"/>
        </w:rPr>
        <w:t>(10)</w:t>
      </w:r>
      <w:r w:rsidRPr="001656A3">
        <w:rPr>
          <w:rFonts w:ascii="Arial" w:hAnsi="Arial" w:cs="Arial"/>
          <w:sz w:val="24"/>
          <w:szCs w:val="24"/>
        </w:rPr>
        <w:t xml:space="preserve">, el 11,3 % de los pacientes diabéticos presentaron microalbuminuria, siendo mayor en el sexo masculino (12,9 %), en los mayores de 70 años (21,4 %), en los diabéticos de </w:t>
      </w:r>
      <w:r w:rsidRPr="001656A3">
        <w:rPr>
          <w:rFonts w:ascii="Arial" w:hAnsi="Arial" w:cs="Arial"/>
          <w:sz w:val="24"/>
          <w:szCs w:val="24"/>
        </w:rPr>
        <w:lastRenderedPageBreak/>
        <w:t xml:space="preserve">más de 20 años (18,7 %), en los insulino-dependiente (50 %) y en aquellos con descontrol grave de la enfermedad (55,6 %), todo lo cual se corresponde con lo reportado en este estudio, donde se encontró asociación de la microalbuminuria con la edad mayor de 60 años, la HTA y la diabetes mellitus, en ese orden. </w:t>
      </w:r>
    </w:p>
    <w:p w:rsidR="006873EB" w:rsidRPr="001656A3" w:rsidRDefault="006873EB" w:rsidP="00C6585A">
      <w:pPr>
        <w:spacing w:after="0" w:line="360" w:lineRule="auto"/>
        <w:jc w:val="both"/>
        <w:rPr>
          <w:rFonts w:ascii="Arial" w:hAnsi="Arial" w:cs="Arial"/>
          <w:iCs/>
          <w:sz w:val="24"/>
          <w:szCs w:val="24"/>
        </w:rPr>
      </w:pPr>
      <w:r w:rsidRPr="001656A3">
        <w:rPr>
          <w:rFonts w:ascii="Arial" w:hAnsi="Arial" w:cs="Arial"/>
          <w:iCs/>
          <w:sz w:val="24"/>
          <w:szCs w:val="24"/>
        </w:rPr>
        <w:t>Por su parte en el estudio de Doğan Alataş</w:t>
      </w:r>
      <w:r w:rsidRPr="001656A3">
        <w:rPr>
          <w:rFonts w:ascii="Arial" w:hAnsi="Arial" w:cs="Arial"/>
          <w:sz w:val="24"/>
          <w:szCs w:val="24"/>
        </w:rPr>
        <w:t xml:space="preserve"> O,</w:t>
      </w:r>
      <w:r w:rsidRPr="001656A3">
        <w:rPr>
          <w:rFonts w:ascii="Arial" w:hAnsi="Arial" w:cs="Arial"/>
          <w:sz w:val="24"/>
          <w:szCs w:val="24"/>
          <w:vertAlign w:val="superscript"/>
        </w:rPr>
        <w:t xml:space="preserve"> </w:t>
      </w:r>
      <w:r w:rsidRPr="001656A3">
        <w:rPr>
          <w:rFonts w:ascii="Arial" w:hAnsi="Arial" w:cs="Arial"/>
          <w:sz w:val="24"/>
          <w:szCs w:val="24"/>
        </w:rPr>
        <w:t xml:space="preserve">y colaboradores </w:t>
      </w:r>
      <w:r w:rsidRPr="001656A3">
        <w:rPr>
          <w:rFonts w:ascii="Arial" w:hAnsi="Arial" w:cs="Arial"/>
          <w:sz w:val="24"/>
          <w:szCs w:val="24"/>
          <w:vertAlign w:val="superscript"/>
        </w:rPr>
        <w:t>(11)</w:t>
      </w:r>
      <w:r w:rsidRPr="001656A3">
        <w:rPr>
          <w:rFonts w:ascii="Arial" w:hAnsi="Arial" w:cs="Arial"/>
          <w:sz w:val="24"/>
          <w:szCs w:val="24"/>
        </w:rPr>
        <w:t>, l</w:t>
      </w:r>
      <w:r w:rsidRPr="001656A3">
        <w:rPr>
          <w:rFonts w:ascii="Arial" w:hAnsi="Arial" w:cs="Arial"/>
          <w:iCs/>
          <w:sz w:val="24"/>
          <w:szCs w:val="24"/>
        </w:rPr>
        <w:t>a prevalencia de microalbuminuria estuvo presente entre el 28 y el 35 % de los pacientes con insuficiencia cardiaca aguda con fracción de eyección preservada intermedia o reducida, prediciendo la mortalidad hospitalaria en estos pacientes.</w:t>
      </w:r>
    </w:p>
    <w:p w:rsidR="006873EB" w:rsidRPr="001656A3" w:rsidRDefault="006873EB" w:rsidP="00C6585A">
      <w:pPr>
        <w:spacing w:after="0" w:line="360" w:lineRule="auto"/>
        <w:jc w:val="both"/>
        <w:rPr>
          <w:rFonts w:ascii="Arial" w:hAnsi="Arial" w:cs="Arial"/>
          <w:sz w:val="24"/>
          <w:szCs w:val="24"/>
        </w:rPr>
      </w:pPr>
      <w:r w:rsidRPr="001656A3">
        <w:rPr>
          <w:rFonts w:ascii="Arial" w:hAnsi="Arial" w:cs="Arial"/>
          <w:sz w:val="24"/>
          <w:szCs w:val="24"/>
        </w:rPr>
        <w:t xml:space="preserve">También otros trabajos realizados en Latinoamérica </w:t>
      </w:r>
      <w:r w:rsidRPr="001656A3">
        <w:rPr>
          <w:rFonts w:ascii="Arial" w:hAnsi="Arial" w:cs="Arial"/>
          <w:sz w:val="24"/>
          <w:szCs w:val="24"/>
          <w:vertAlign w:val="superscript"/>
        </w:rPr>
        <w:t>(</w:t>
      </w:r>
      <w:r>
        <w:rPr>
          <w:rFonts w:ascii="Arial" w:hAnsi="Arial" w:cs="Arial"/>
          <w:sz w:val="24"/>
          <w:szCs w:val="24"/>
          <w:vertAlign w:val="superscript"/>
        </w:rPr>
        <w:t>12,13</w:t>
      </w:r>
      <w:r w:rsidRPr="001656A3">
        <w:rPr>
          <w:rFonts w:ascii="Arial" w:hAnsi="Arial" w:cs="Arial"/>
          <w:sz w:val="24"/>
          <w:szCs w:val="24"/>
          <w:vertAlign w:val="superscript"/>
        </w:rPr>
        <w:t>)</w:t>
      </w:r>
      <w:r w:rsidRPr="001656A3">
        <w:rPr>
          <w:rFonts w:ascii="Arial" w:hAnsi="Arial" w:cs="Arial"/>
          <w:sz w:val="24"/>
          <w:szCs w:val="24"/>
        </w:rPr>
        <w:t>, reportaron un 67,3% de pacientes con microalbuminuria en la población mediante relación albúmina/creatinina. Además se reporta entre un 85,3% y un 53,4% de microalbuminuria en la población medida en orina de 24 horas, donde se demuestra un 40% de nefropatía temprana en la población estudiada</w:t>
      </w:r>
    </w:p>
    <w:p w:rsidR="006873EB" w:rsidRPr="00C6585A" w:rsidRDefault="006873EB" w:rsidP="00C6585A">
      <w:pPr>
        <w:spacing w:after="0" w:line="360" w:lineRule="auto"/>
        <w:jc w:val="both"/>
        <w:rPr>
          <w:rFonts w:ascii="Arial" w:hAnsi="Arial" w:cs="Arial"/>
          <w:sz w:val="24"/>
          <w:szCs w:val="24"/>
        </w:rPr>
      </w:pPr>
      <w:r w:rsidRPr="001656A3">
        <w:rPr>
          <w:rFonts w:ascii="Arial" w:eastAsia="Calibri" w:hAnsi="Arial" w:cs="Arial"/>
          <w:sz w:val="24"/>
          <w:szCs w:val="24"/>
        </w:rPr>
        <w:t>Al realizar el análisis multivariado (tabla 3), se encontró que el modelo de paciente en el que el tamizaje mostró ser más eficiente es aquél con antecedente de hiperlipemia, la cual estuvo presente en más de 5 veces para el hallazgo de microalbuminuria (OR: 5,04); (IC: 2,76-9,21), (P</w:t>
      </w:r>
      <w:r w:rsidRPr="001656A3">
        <w:rPr>
          <w:rFonts w:ascii="Arial" w:eastAsia="SimSun" w:hAnsi="Arial" w:cs="Arial"/>
          <w:bCs/>
          <w:kern w:val="3"/>
          <w:sz w:val="24"/>
          <w:szCs w:val="24"/>
          <w:lang w:val="es-EC" w:eastAsia="zh-CN" w:bidi="hi-IN"/>
        </w:rPr>
        <w:t>&lt;</w:t>
      </w:r>
      <w:r w:rsidRPr="001656A3">
        <w:rPr>
          <w:rFonts w:ascii="Arial" w:eastAsia="Calibri" w:hAnsi="Arial" w:cs="Arial"/>
          <w:sz w:val="24"/>
          <w:szCs w:val="24"/>
        </w:rPr>
        <w:t>0,001), seguido de la HTA, la enfermedad cardiovascular, la obesidad y la diabetes mellitus, siendo altamente significativos.</w:t>
      </w:r>
    </w:p>
    <w:p w:rsidR="006873EB" w:rsidRPr="001656A3" w:rsidRDefault="006873EB" w:rsidP="00C6585A">
      <w:pPr>
        <w:spacing w:after="200" w:line="360" w:lineRule="auto"/>
        <w:jc w:val="both"/>
        <w:rPr>
          <w:rFonts w:ascii="Arial" w:eastAsia="Calibri" w:hAnsi="Arial" w:cs="Arial"/>
          <w:b/>
          <w:color w:val="000000"/>
          <w:sz w:val="24"/>
          <w:szCs w:val="24"/>
        </w:rPr>
      </w:pPr>
      <w:r w:rsidRPr="001656A3">
        <w:rPr>
          <w:rFonts w:ascii="Arial" w:eastAsia="Calibri" w:hAnsi="Arial" w:cs="Arial"/>
          <w:b/>
          <w:color w:val="000000"/>
          <w:sz w:val="24"/>
          <w:szCs w:val="24"/>
        </w:rPr>
        <w:t>Tabla 3. Análisis multivariado</w:t>
      </w:r>
    </w:p>
    <w:tbl>
      <w:tblPr>
        <w:tblStyle w:val="Tablaconcuadrcula"/>
        <w:tblW w:w="0" w:type="auto"/>
        <w:tblInd w:w="250" w:type="dxa"/>
        <w:tblLook w:val="04A0" w:firstRow="1" w:lastRow="0" w:firstColumn="1" w:lastColumn="0" w:noHBand="0" w:noVBand="1"/>
      </w:tblPr>
      <w:tblGrid>
        <w:gridCol w:w="3260"/>
        <w:gridCol w:w="993"/>
        <w:gridCol w:w="1417"/>
        <w:gridCol w:w="2126"/>
      </w:tblGrid>
      <w:tr w:rsidR="006873EB" w:rsidRPr="001656A3" w:rsidTr="00A92717">
        <w:tc>
          <w:tcPr>
            <w:tcW w:w="3260" w:type="dxa"/>
          </w:tcPr>
          <w:p w:rsidR="006873EB" w:rsidRPr="001656A3" w:rsidRDefault="006873EB" w:rsidP="00C6585A">
            <w:pPr>
              <w:spacing w:line="360" w:lineRule="auto"/>
              <w:rPr>
                <w:rFonts w:ascii="Arial" w:eastAsia="Calibri" w:hAnsi="Arial" w:cs="Arial"/>
                <w:b/>
                <w:sz w:val="24"/>
                <w:szCs w:val="24"/>
              </w:rPr>
            </w:pPr>
            <w:r w:rsidRPr="001656A3">
              <w:rPr>
                <w:rFonts w:ascii="Arial" w:eastAsia="Calibri" w:hAnsi="Arial" w:cs="Arial"/>
                <w:b/>
                <w:sz w:val="24"/>
                <w:szCs w:val="24"/>
              </w:rPr>
              <w:t>Microalbuminuria</w:t>
            </w:r>
          </w:p>
        </w:tc>
        <w:tc>
          <w:tcPr>
            <w:tcW w:w="993" w:type="dxa"/>
          </w:tcPr>
          <w:p w:rsidR="006873EB" w:rsidRPr="001656A3" w:rsidRDefault="006873EB" w:rsidP="00C6585A">
            <w:pPr>
              <w:spacing w:line="360" w:lineRule="auto"/>
              <w:jc w:val="center"/>
              <w:rPr>
                <w:rFonts w:ascii="Arial" w:eastAsia="Calibri" w:hAnsi="Arial" w:cs="Arial"/>
                <w:b/>
                <w:sz w:val="24"/>
                <w:szCs w:val="24"/>
              </w:rPr>
            </w:pPr>
            <w:r w:rsidRPr="001656A3">
              <w:rPr>
                <w:rFonts w:ascii="Arial" w:eastAsia="Calibri" w:hAnsi="Arial" w:cs="Arial"/>
                <w:b/>
                <w:sz w:val="24"/>
                <w:szCs w:val="24"/>
              </w:rPr>
              <w:t>OR</w:t>
            </w:r>
          </w:p>
        </w:tc>
        <w:tc>
          <w:tcPr>
            <w:tcW w:w="1417" w:type="dxa"/>
          </w:tcPr>
          <w:p w:rsidR="006873EB" w:rsidRPr="001656A3" w:rsidRDefault="006873EB" w:rsidP="00C6585A">
            <w:pPr>
              <w:spacing w:line="360" w:lineRule="auto"/>
              <w:jc w:val="center"/>
              <w:rPr>
                <w:rFonts w:ascii="Arial" w:eastAsia="Calibri" w:hAnsi="Arial" w:cs="Arial"/>
                <w:b/>
                <w:sz w:val="24"/>
                <w:szCs w:val="24"/>
              </w:rPr>
            </w:pPr>
            <w:r w:rsidRPr="001656A3">
              <w:rPr>
                <w:rFonts w:ascii="Arial" w:eastAsia="Calibri" w:hAnsi="Arial" w:cs="Arial"/>
                <w:b/>
                <w:sz w:val="24"/>
                <w:szCs w:val="24"/>
              </w:rPr>
              <w:t>IC</w:t>
            </w:r>
          </w:p>
        </w:tc>
        <w:tc>
          <w:tcPr>
            <w:tcW w:w="2126" w:type="dxa"/>
          </w:tcPr>
          <w:p w:rsidR="006873EB" w:rsidRPr="001656A3" w:rsidRDefault="006873EB" w:rsidP="00C6585A">
            <w:pPr>
              <w:spacing w:line="360" w:lineRule="auto"/>
              <w:jc w:val="center"/>
              <w:rPr>
                <w:rFonts w:ascii="Arial" w:eastAsia="Calibri" w:hAnsi="Arial" w:cs="Arial"/>
                <w:b/>
                <w:sz w:val="24"/>
                <w:szCs w:val="24"/>
              </w:rPr>
            </w:pPr>
            <w:r w:rsidRPr="001656A3">
              <w:rPr>
                <w:rFonts w:ascii="Arial" w:eastAsia="Calibri" w:hAnsi="Arial" w:cs="Arial"/>
                <w:b/>
                <w:sz w:val="24"/>
                <w:szCs w:val="24"/>
              </w:rPr>
              <w:t>X2</w:t>
            </w:r>
          </w:p>
        </w:tc>
      </w:tr>
      <w:tr w:rsidR="006873EB" w:rsidRPr="001656A3" w:rsidTr="00A92717">
        <w:tc>
          <w:tcPr>
            <w:tcW w:w="3260"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Sexo masculino</w:t>
            </w:r>
          </w:p>
        </w:tc>
        <w:tc>
          <w:tcPr>
            <w:tcW w:w="993"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0,83</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0,69-0,99</w:t>
            </w:r>
          </w:p>
        </w:tc>
        <w:tc>
          <w:tcPr>
            <w:tcW w:w="2126" w:type="dxa"/>
          </w:tcPr>
          <w:p w:rsidR="006873EB" w:rsidRPr="001656A3" w:rsidRDefault="006873EB" w:rsidP="00C6585A">
            <w:pPr>
              <w:spacing w:line="360" w:lineRule="auto"/>
              <w:jc w:val="center"/>
              <w:rPr>
                <w:rFonts w:ascii="Arial" w:eastAsia="Calibri" w:hAnsi="Arial" w:cs="Arial"/>
                <w:sz w:val="24"/>
                <w:szCs w:val="24"/>
              </w:rPr>
            </w:pPr>
            <w:r w:rsidRPr="001656A3">
              <w:rPr>
                <w:rFonts w:ascii="Arial" w:eastAsia="Calibri" w:hAnsi="Arial" w:cs="Arial"/>
                <w:sz w:val="24"/>
                <w:szCs w:val="24"/>
              </w:rPr>
              <w:t>4,34     (P&lt; 0,05)</w:t>
            </w:r>
          </w:p>
        </w:tc>
      </w:tr>
      <w:tr w:rsidR="006873EB" w:rsidRPr="001656A3" w:rsidTr="00A92717">
        <w:tc>
          <w:tcPr>
            <w:tcW w:w="3260" w:type="dxa"/>
          </w:tcPr>
          <w:p w:rsidR="006873EB" w:rsidRPr="001656A3" w:rsidRDefault="006873EB" w:rsidP="00C6585A">
            <w:pPr>
              <w:spacing w:line="360" w:lineRule="auto"/>
              <w:rPr>
                <w:rFonts w:ascii="Arial" w:hAnsi="Arial" w:cs="Arial"/>
                <w:sz w:val="24"/>
                <w:szCs w:val="24"/>
              </w:rPr>
            </w:pPr>
            <w:r w:rsidRPr="001656A3">
              <w:rPr>
                <w:rFonts w:ascii="Arial" w:hAnsi="Arial" w:cs="Arial"/>
                <w:sz w:val="24"/>
                <w:szCs w:val="24"/>
              </w:rPr>
              <w:t>Diabetes Mellitus</w:t>
            </w:r>
          </w:p>
        </w:tc>
        <w:tc>
          <w:tcPr>
            <w:tcW w:w="993"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1,58</w:t>
            </w:r>
          </w:p>
        </w:tc>
        <w:tc>
          <w:tcPr>
            <w:tcW w:w="1417"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1,17-2,15</w:t>
            </w:r>
          </w:p>
        </w:tc>
        <w:tc>
          <w:tcPr>
            <w:tcW w:w="2126"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8,85     (P&lt;0,001)</w:t>
            </w:r>
          </w:p>
        </w:tc>
      </w:tr>
      <w:tr w:rsidR="006873EB" w:rsidRPr="001656A3" w:rsidTr="00A92717">
        <w:tc>
          <w:tcPr>
            <w:tcW w:w="3260" w:type="dxa"/>
          </w:tcPr>
          <w:p w:rsidR="006873EB" w:rsidRPr="001656A3" w:rsidRDefault="006873EB" w:rsidP="00C6585A">
            <w:pPr>
              <w:spacing w:line="360" w:lineRule="auto"/>
              <w:rPr>
                <w:rFonts w:ascii="Arial" w:hAnsi="Arial" w:cs="Arial"/>
                <w:sz w:val="24"/>
                <w:szCs w:val="24"/>
              </w:rPr>
            </w:pPr>
            <w:r w:rsidRPr="001656A3">
              <w:rPr>
                <w:rFonts w:ascii="Arial" w:hAnsi="Arial" w:cs="Arial"/>
                <w:sz w:val="24"/>
                <w:szCs w:val="24"/>
              </w:rPr>
              <w:t>HTA</w:t>
            </w:r>
          </w:p>
        </w:tc>
        <w:tc>
          <w:tcPr>
            <w:tcW w:w="993"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3,49</w:t>
            </w:r>
          </w:p>
        </w:tc>
        <w:tc>
          <w:tcPr>
            <w:tcW w:w="1417"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2,73-4,46</w:t>
            </w:r>
          </w:p>
        </w:tc>
        <w:tc>
          <w:tcPr>
            <w:tcW w:w="2126"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108,01 (P&lt;0,001)</w:t>
            </w:r>
          </w:p>
        </w:tc>
      </w:tr>
      <w:tr w:rsidR="006873EB" w:rsidRPr="001656A3" w:rsidTr="00A92717">
        <w:tc>
          <w:tcPr>
            <w:tcW w:w="3260" w:type="dxa"/>
          </w:tcPr>
          <w:p w:rsidR="006873EB" w:rsidRPr="001656A3" w:rsidRDefault="006873EB" w:rsidP="00C6585A">
            <w:pPr>
              <w:spacing w:line="360" w:lineRule="auto"/>
              <w:rPr>
                <w:rFonts w:ascii="Arial" w:eastAsia="Calibri" w:hAnsi="Arial" w:cs="Arial"/>
                <w:sz w:val="24"/>
                <w:szCs w:val="24"/>
              </w:rPr>
            </w:pPr>
            <w:r w:rsidRPr="001656A3">
              <w:rPr>
                <w:rFonts w:ascii="Arial" w:eastAsia="Calibri" w:hAnsi="Arial" w:cs="Arial"/>
                <w:sz w:val="24"/>
                <w:szCs w:val="24"/>
              </w:rPr>
              <w:t>Enfermedad cardiovascular</w:t>
            </w:r>
          </w:p>
        </w:tc>
        <w:tc>
          <w:tcPr>
            <w:tcW w:w="993" w:type="dxa"/>
          </w:tcPr>
          <w:p w:rsidR="006873EB" w:rsidRPr="001656A3" w:rsidRDefault="006873EB" w:rsidP="00C6585A">
            <w:pPr>
              <w:spacing w:line="360" w:lineRule="auto"/>
              <w:jc w:val="center"/>
              <w:rPr>
                <w:rFonts w:ascii="Arial" w:eastAsia="Calibri" w:hAnsi="Arial" w:cs="Arial"/>
                <w:sz w:val="24"/>
                <w:szCs w:val="24"/>
              </w:rPr>
            </w:pPr>
            <w:r w:rsidRPr="001656A3">
              <w:rPr>
                <w:rFonts w:ascii="Arial" w:eastAsia="Calibri" w:hAnsi="Arial" w:cs="Arial"/>
                <w:sz w:val="24"/>
                <w:szCs w:val="24"/>
              </w:rPr>
              <w:t>3,46</w:t>
            </w:r>
          </w:p>
        </w:tc>
        <w:tc>
          <w:tcPr>
            <w:tcW w:w="1417" w:type="dxa"/>
          </w:tcPr>
          <w:p w:rsidR="006873EB" w:rsidRPr="001656A3" w:rsidRDefault="006873EB" w:rsidP="00C6585A">
            <w:pPr>
              <w:spacing w:line="360" w:lineRule="auto"/>
              <w:jc w:val="center"/>
              <w:rPr>
                <w:rFonts w:ascii="Arial" w:eastAsia="Calibri" w:hAnsi="Arial" w:cs="Arial"/>
                <w:sz w:val="24"/>
                <w:szCs w:val="24"/>
              </w:rPr>
            </w:pPr>
            <w:r w:rsidRPr="001656A3">
              <w:rPr>
                <w:rFonts w:ascii="Arial" w:eastAsia="Calibri" w:hAnsi="Arial" w:cs="Arial"/>
                <w:sz w:val="24"/>
                <w:szCs w:val="24"/>
              </w:rPr>
              <w:t>1,70-7,04</w:t>
            </w:r>
          </w:p>
        </w:tc>
        <w:tc>
          <w:tcPr>
            <w:tcW w:w="2126" w:type="dxa"/>
          </w:tcPr>
          <w:p w:rsidR="006873EB" w:rsidRPr="001656A3" w:rsidRDefault="006873EB" w:rsidP="00C6585A">
            <w:pPr>
              <w:spacing w:line="360" w:lineRule="auto"/>
              <w:jc w:val="center"/>
              <w:rPr>
                <w:rFonts w:ascii="Arial" w:eastAsia="Calibri" w:hAnsi="Arial" w:cs="Arial"/>
                <w:sz w:val="24"/>
                <w:szCs w:val="24"/>
              </w:rPr>
            </w:pPr>
            <w:r w:rsidRPr="001656A3">
              <w:rPr>
                <w:rFonts w:ascii="Arial" w:eastAsia="Calibri" w:hAnsi="Arial" w:cs="Arial"/>
                <w:sz w:val="24"/>
                <w:szCs w:val="24"/>
              </w:rPr>
              <w:t xml:space="preserve">13,32   </w:t>
            </w:r>
            <w:r w:rsidRPr="001656A3">
              <w:rPr>
                <w:rFonts w:ascii="Arial" w:hAnsi="Arial" w:cs="Arial"/>
                <w:sz w:val="24"/>
                <w:szCs w:val="24"/>
              </w:rPr>
              <w:t>(P&lt;0,001)</w:t>
            </w:r>
          </w:p>
        </w:tc>
      </w:tr>
      <w:tr w:rsidR="006873EB" w:rsidRPr="001656A3" w:rsidTr="00A92717">
        <w:tc>
          <w:tcPr>
            <w:tcW w:w="3260"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 xml:space="preserve">Obesidad </w:t>
            </w:r>
          </w:p>
        </w:tc>
        <w:tc>
          <w:tcPr>
            <w:tcW w:w="993"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2,61</w:t>
            </w:r>
          </w:p>
        </w:tc>
        <w:tc>
          <w:tcPr>
            <w:tcW w:w="1417" w:type="dxa"/>
          </w:tcPr>
          <w:p w:rsidR="006873EB" w:rsidRPr="001656A3" w:rsidRDefault="006873EB" w:rsidP="00C6585A">
            <w:pPr>
              <w:spacing w:line="360" w:lineRule="auto"/>
              <w:contextualSpacing/>
              <w:jc w:val="center"/>
              <w:rPr>
                <w:rFonts w:ascii="Arial" w:eastAsia="Calibri" w:hAnsi="Arial" w:cs="Arial"/>
                <w:sz w:val="24"/>
                <w:szCs w:val="24"/>
              </w:rPr>
            </w:pPr>
            <w:r w:rsidRPr="001656A3">
              <w:rPr>
                <w:rFonts w:ascii="Arial" w:eastAsia="Calibri" w:hAnsi="Arial" w:cs="Arial"/>
                <w:sz w:val="24"/>
                <w:szCs w:val="24"/>
              </w:rPr>
              <w:t>2,06-3,32</w:t>
            </w:r>
          </w:p>
        </w:tc>
        <w:tc>
          <w:tcPr>
            <w:tcW w:w="2126" w:type="dxa"/>
          </w:tcPr>
          <w:p w:rsidR="006873EB" w:rsidRPr="001656A3" w:rsidRDefault="006873EB" w:rsidP="00C6585A">
            <w:pPr>
              <w:spacing w:line="360" w:lineRule="auto"/>
              <w:jc w:val="center"/>
              <w:rPr>
                <w:rFonts w:ascii="Arial" w:eastAsia="Calibri" w:hAnsi="Arial" w:cs="Arial"/>
                <w:sz w:val="24"/>
                <w:szCs w:val="24"/>
              </w:rPr>
            </w:pPr>
            <w:r w:rsidRPr="001656A3">
              <w:rPr>
                <w:rFonts w:ascii="Arial" w:eastAsia="Calibri" w:hAnsi="Arial" w:cs="Arial"/>
                <w:sz w:val="24"/>
                <w:szCs w:val="24"/>
              </w:rPr>
              <w:t xml:space="preserve">65,47   </w:t>
            </w:r>
            <w:r w:rsidRPr="001656A3">
              <w:rPr>
                <w:rFonts w:ascii="Arial" w:hAnsi="Arial" w:cs="Arial"/>
                <w:sz w:val="24"/>
                <w:szCs w:val="24"/>
              </w:rPr>
              <w:t>(P&lt;0,001)</w:t>
            </w:r>
          </w:p>
        </w:tc>
      </w:tr>
      <w:tr w:rsidR="006873EB" w:rsidRPr="001656A3" w:rsidTr="00A92717">
        <w:tc>
          <w:tcPr>
            <w:tcW w:w="3260" w:type="dxa"/>
          </w:tcPr>
          <w:p w:rsidR="006873EB" w:rsidRPr="001656A3" w:rsidRDefault="006873EB" w:rsidP="00C6585A">
            <w:pPr>
              <w:spacing w:line="360" w:lineRule="auto"/>
              <w:contextualSpacing/>
              <w:jc w:val="both"/>
              <w:rPr>
                <w:rFonts w:ascii="Arial" w:eastAsia="Calibri" w:hAnsi="Arial" w:cs="Arial"/>
                <w:sz w:val="24"/>
                <w:szCs w:val="24"/>
              </w:rPr>
            </w:pPr>
            <w:r w:rsidRPr="001656A3">
              <w:rPr>
                <w:rFonts w:ascii="Arial" w:eastAsia="Calibri" w:hAnsi="Arial" w:cs="Arial"/>
                <w:sz w:val="24"/>
                <w:szCs w:val="24"/>
              </w:rPr>
              <w:t>Hiperlipidemia</w:t>
            </w:r>
          </w:p>
        </w:tc>
        <w:tc>
          <w:tcPr>
            <w:tcW w:w="993"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5,04</w:t>
            </w:r>
          </w:p>
        </w:tc>
        <w:tc>
          <w:tcPr>
            <w:tcW w:w="1417" w:type="dxa"/>
          </w:tcPr>
          <w:p w:rsidR="006873EB" w:rsidRPr="001656A3" w:rsidRDefault="006873EB" w:rsidP="00C6585A">
            <w:pPr>
              <w:spacing w:line="360" w:lineRule="auto"/>
              <w:jc w:val="center"/>
              <w:rPr>
                <w:rFonts w:ascii="Arial" w:hAnsi="Arial" w:cs="Arial"/>
                <w:sz w:val="24"/>
                <w:szCs w:val="24"/>
              </w:rPr>
            </w:pPr>
            <w:r w:rsidRPr="001656A3">
              <w:rPr>
                <w:rFonts w:ascii="Arial" w:hAnsi="Arial" w:cs="Arial"/>
                <w:sz w:val="24"/>
                <w:szCs w:val="24"/>
              </w:rPr>
              <w:t>2,76-9,21</w:t>
            </w:r>
          </w:p>
        </w:tc>
        <w:tc>
          <w:tcPr>
            <w:tcW w:w="2126" w:type="dxa"/>
          </w:tcPr>
          <w:p w:rsidR="006873EB" w:rsidRPr="001656A3" w:rsidRDefault="006873EB" w:rsidP="00C6585A">
            <w:pPr>
              <w:spacing w:line="360" w:lineRule="auto"/>
              <w:jc w:val="center"/>
              <w:rPr>
                <w:rFonts w:ascii="Arial" w:eastAsia="Calibri" w:hAnsi="Arial" w:cs="Arial"/>
                <w:sz w:val="24"/>
                <w:szCs w:val="24"/>
              </w:rPr>
            </w:pPr>
            <w:r w:rsidRPr="001656A3">
              <w:rPr>
                <w:rFonts w:ascii="Arial" w:eastAsia="Calibri" w:hAnsi="Arial" w:cs="Arial"/>
                <w:sz w:val="24"/>
                <w:szCs w:val="24"/>
              </w:rPr>
              <w:t xml:space="preserve">33,89   </w:t>
            </w:r>
            <w:r w:rsidRPr="001656A3">
              <w:rPr>
                <w:rFonts w:ascii="Arial" w:hAnsi="Arial" w:cs="Arial"/>
                <w:sz w:val="24"/>
                <w:szCs w:val="24"/>
              </w:rPr>
              <w:t>(P&lt;0,001)</w:t>
            </w:r>
          </w:p>
        </w:tc>
      </w:tr>
    </w:tbl>
    <w:p w:rsidR="006873EB" w:rsidRPr="001656A3" w:rsidRDefault="006873EB" w:rsidP="00C6585A">
      <w:pPr>
        <w:spacing w:after="0" w:line="360" w:lineRule="auto"/>
        <w:jc w:val="both"/>
        <w:rPr>
          <w:rFonts w:ascii="Arial" w:hAnsi="Arial" w:cs="Arial"/>
          <w:sz w:val="24"/>
          <w:szCs w:val="24"/>
          <w:vertAlign w:val="superscript"/>
        </w:rPr>
      </w:pPr>
    </w:p>
    <w:p w:rsidR="006873EB" w:rsidRPr="001656A3" w:rsidRDefault="006873EB" w:rsidP="00C6585A">
      <w:pPr>
        <w:spacing w:after="0" w:line="360" w:lineRule="auto"/>
        <w:jc w:val="both"/>
        <w:rPr>
          <w:rFonts w:ascii="Arial" w:hAnsi="Arial" w:cs="Arial"/>
          <w:sz w:val="24"/>
          <w:szCs w:val="24"/>
        </w:rPr>
      </w:pPr>
      <w:r w:rsidRPr="001656A3">
        <w:rPr>
          <w:rFonts w:ascii="Arial" w:hAnsi="Arial" w:cs="Arial"/>
          <w:sz w:val="24"/>
          <w:szCs w:val="24"/>
        </w:rPr>
        <w:t xml:space="preserve">Estas cifras difieren de las encontradas en población europea, en las que la microalbuminuria en promedio alcanza el 30%. También difieren de las encontradas en este estudio, lo cual pudiera deberse al método empleado en la </w:t>
      </w:r>
      <w:r w:rsidRPr="001656A3">
        <w:rPr>
          <w:rFonts w:ascii="Arial" w:hAnsi="Arial" w:cs="Arial"/>
          <w:sz w:val="24"/>
          <w:szCs w:val="24"/>
        </w:rPr>
        <w:lastRenderedPageBreak/>
        <w:t>medición de la microalbuminuria. En estos pacientes, el posible daño renal no hubiera sido detectado utilizando estrictamente un examen de orina; de ahí la utilidad de la determinación de microalbuminuria.</w:t>
      </w:r>
      <w:r w:rsidRPr="001656A3">
        <w:rPr>
          <w:rFonts w:ascii="Arial" w:hAnsi="Arial" w:cs="Arial"/>
          <w:sz w:val="24"/>
          <w:szCs w:val="24"/>
          <w:vertAlign w:val="superscript"/>
        </w:rPr>
        <w:t xml:space="preserve"> (</w:t>
      </w:r>
      <w:r>
        <w:rPr>
          <w:rFonts w:ascii="Arial" w:hAnsi="Arial" w:cs="Arial"/>
          <w:sz w:val="24"/>
          <w:szCs w:val="24"/>
          <w:vertAlign w:val="superscript"/>
        </w:rPr>
        <w:t>14,15</w:t>
      </w:r>
      <w:r w:rsidRPr="001656A3">
        <w:rPr>
          <w:rFonts w:ascii="Arial" w:hAnsi="Arial" w:cs="Arial"/>
          <w:sz w:val="24"/>
          <w:szCs w:val="24"/>
          <w:vertAlign w:val="superscript"/>
        </w:rPr>
        <w:t>)</w:t>
      </w:r>
    </w:p>
    <w:p w:rsidR="006873EB" w:rsidRPr="001656A3" w:rsidRDefault="006873EB" w:rsidP="00C6585A">
      <w:pPr>
        <w:spacing w:after="0" w:line="360" w:lineRule="auto"/>
        <w:jc w:val="both"/>
        <w:rPr>
          <w:rFonts w:ascii="Arial" w:hAnsi="Arial" w:cs="Arial"/>
          <w:sz w:val="24"/>
          <w:szCs w:val="24"/>
        </w:rPr>
      </w:pPr>
      <w:r>
        <w:rPr>
          <w:rFonts w:ascii="Arial" w:hAnsi="Arial" w:cs="Arial"/>
          <w:color w:val="000000"/>
          <w:sz w:val="24"/>
          <w:szCs w:val="24"/>
        </w:rPr>
        <w:t xml:space="preserve">En el estudio de González-Milán </w:t>
      </w:r>
      <w:r w:rsidRPr="001656A3">
        <w:rPr>
          <w:rFonts w:ascii="Arial" w:hAnsi="Arial" w:cs="Arial"/>
          <w:color w:val="000000"/>
          <w:sz w:val="24"/>
          <w:szCs w:val="24"/>
        </w:rPr>
        <w:t xml:space="preserve">ZC, y colaboradores </w:t>
      </w:r>
      <w:r w:rsidRPr="001656A3">
        <w:rPr>
          <w:rFonts w:ascii="Arial" w:hAnsi="Arial" w:cs="Arial"/>
          <w:color w:val="000000"/>
          <w:sz w:val="24"/>
          <w:szCs w:val="24"/>
          <w:vertAlign w:val="superscript"/>
        </w:rPr>
        <w:t>(</w:t>
      </w:r>
      <w:r>
        <w:rPr>
          <w:rFonts w:ascii="Arial" w:hAnsi="Arial" w:cs="Arial"/>
          <w:color w:val="000000"/>
          <w:sz w:val="24"/>
          <w:szCs w:val="24"/>
          <w:vertAlign w:val="superscript"/>
        </w:rPr>
        <w:t>16</w:t>
      </w:r>
      <w:r w:rsidRPr="001656A3">
        <w:rPr>
          <w:rFonts w:ascii="Arial" w:hAnsi="Arial" w:cs="Arial"/>
          <w:color w:val="000000"/>
          <w:sz w:val="24"/>
          <w:szCs w:val="24"/>
          <w:vertAlign w:val="superscript"/>
        </w:rPr>
        <w:t>)</w:t>
      </w:r>
      <w:r w:rsidRPr="001656A3">
        <w:rPr>
          <w:rFonts w:ascii="Arial" w:hAnsi="Arial" w:cs="Arial"/>
          <w:color w:val="000000"/>
          <w:sz w:val="24"/>
          <w:szCs w:val="24"/>
        </w:rPr>
        <w:t>, la albuminuria fue identificada como factor pronóstico de nefropatía hipertensiva, junto a la edad, los años de evolución de la HTA, el estadio 2 y el no control de la hipertensión arterial.</w:t>
      </w:r>
      <w:r w:rsidRPr="001656A3">
        <w:rPr>
          <w:rFonts w:ascii="Arial" w:hAnsi="Arial" w:cs="Arial"/>
          <w:sz w:val="24"/>
          <w:szCs w:val="24"/>
        </w:rPr>
        <w:t xml:space="preserve"> También en este estudio se encontró asociación entre la HTA y la microalbuminuria.</w:t>
      </w:r>
    </w:p>
    <w:p w:rsidR="006873EB" w:rsidRDefault="006873EB" w:rsidP="00C6585A">
      <w:pPr>
        <w:spacing w:after="0" w:line="360" w:lineRule="auto"/>
        <w:jc w:val="both"/>
        <w:rPr>
          <w:rFonts w:ascii="Arial" w:hAnsi="Arial" w:cs="Arial"/>
          <w:bCs/>
          <w:sz w:val="24"/>
          <w:szCs w:val="24"/>
        </w:rPr>
      </w:pPr>
    </w:p>
    <w:p w:rsidR="006873EB" w:rsidRPr="006873EB" w:rsidRDefault="006873EB" w:rsidP="00C6585A">
      <w:pPr>
        <w:spacing w:after="0" w:line="360" w:lineRule="auto"/>
        <w:jc w:val="both"/>
        <w:rPr>
          <w:rFonts w:ascii="Arial" w:hAnsi="Arial" w:cs="Arial"/>
          <w:b/>
          <w:bCs/>
          <w:sz w:val="24"/>
          <w:szCs w:val="24"/>
        </w:rPr>
      </w:pPr>
      <w:r w:rsidRPr="006873EB">
        <w:rPr>
          <w:rFonts w:ascii="Arial" w:hAnsi="Arial" w:cs="Arial"/>
          <w:b/>
          <w:bCs/>
          <w:sz w:val="24"/>
          <w:szCs w:val="24"/>
        </w:rPr>
        <w:t>CONCLUSIONES</w:t>
      </w:r>
    </w:p>
    <w:p w:rsidR="003616D9" w:rsidRPr="003616D9" w:rsidRDefault="006873EB" w:rsidP="00C6585A">
      <w:pPr>
        <w:autoSpaceDE w:val="0"/>
        <w:autoSpaceDN w:val="0"/>
        <w:adjustRightInd w:val="0"/>
        <w:spacing w:after="0" w:line="360" w:lineRule="auto"/>
        <w:jc w:val="both"/>
        <w:rPr>
          <w:rFonts w:ascii="Arial" w:hAnsi="Arial" w:cs="Arial"/>
          <w:sz w:val="24"/>
          <w:szCs w:val="24"/>
        </w:rPr>
      </w:pPr>
      <w:r>
        <w:rPr>
          <w:rFonts w:ascii="Arial" w:eastAsia="Calibri" w:hAnsi="Arial" w:cs="Arial"/>
          <w:sz w:val="24"/>
          <w:szCs w:val="24"/>
          <w:lang w:val="es-EC"/>
        </w:rPr>
        <w:t xml:space="preserve">La </w:t>
      </w:r>
      <w:r w:rsidR="006D24A9" w:rsidRPr="0001718B">
        <w:rPr>
          <w:rFonts w:ascii="Arial" w:hAnsi="Arial" w:cs="Arial"/>
          <w:sz w:val="24"/>
          <w:szCs w:val="24"/>
        </w:rPr>
        <w:t>determinaci</w:t>
      </w:r>
      <w:r w:rsidR="006D24A9">
        <w:rPr>
          <w:rFonts w:ascii="Arial" w:hAnsi="Arial" w:cs="Arial"/>
          <w:sz w:val="24"/>
          <w:szCs w:val="24"/>
        </w:rPr>
        <w:t xml:space="preserve">ón de microalbuminuria </w:t>
      </w:r>
      <w:r w:rsidR="00E47A10" w:rsidRPr="00A928FE">
        <w:rPr>
          <w:rStyle w:val="nfasis"/>
          <w:rFonts w:ascii="Arial" w:hAnsi="Arial" w:cs="Arial"/>
          <w:i w:val="0"/>
          <w:sz w:val="24"/>
          <w:szCs w:val="24"/>
        </w:rPr>
        <w:t xml:space="preserve">tiene gran utilidad como complemento de </w:t>
      </w:r>
      <w:r w:rsidR="00E47A10">
        <w:rPr>
          <w:rStyle w:val="nfasis"/>
          <w:rFonts w:ascii="Arial" w:hAnsi="Arial" w:cs="Arial"/>
          <w:i w:val="0"/>
          <w:sz w:val="24"/>
          <w:szCs w:val="24"/>
        </w:rPr>
        <w:t xml:space="preserve">la </w:t>
      </w:r>
      <w:r w:rsidR="00E47A10" w:rsidRPr="00A928FE">
        <w:rPr>
          <w:rStyle w:val="nfasis"/>
          <w:rFonts w:ascii="Arial" w:hAnsi="Arial" w:cs="Arial"/>
          <w:i w:val="0"/>
          <w:sz w:val="24"/>
          <w:szCs w:val="24"/>
        </w:rPr>
        <w:t xml:space="preserve">orina y </w:t>
      </w:r>
      <w:r w:rsidR="00E47A10">
        <w:rPr>
          <w:rStyle w:val="nfasis"/>
          <w:rFonts w:ascii="Arial" w:hAnsi="Arial" w:cs="Arial"/>
          <w:i w:val="0"/>
          <w:sz w:val="24"/>
          <w:szCs w:val="24"/>
        </w:rPr>
        <w:t xml:space="preserve">es útil en la </w:t>
      </w:r>
      <w:r w:rsidR="00E47A10" w:rsidRPr="00A928FE">
        <w:rPr>
          <w:rStyle w:val="nfasis"/>
          <w:rFonts w:ascii="Arial" w:hAnsi="Arial" w:cs="Arial"/>
          <w:i w:val="0"/>
          <w:sz w:val="24"/>
          <w:szCs w:val="24"/>
        </w:rPr>
        <w:t>pesquisa de</w:t>
      </w:r>
      <w:r w:rsidR="00E47A10">
        <w:rPr>
          <w:rStyle w:val="nfasis"/>
          <w:rFonts w:ascii="Arial" w:hAnsi="Arial" w:cs="Arial"/>
          <w:i w:val="0"/>
          <w:sz w:val="24"/>
          <w:szCs w:val="24"/>
        </w:rPr>
        <w:t>l</w:t>
      </w:r>
      <w:r w:rsidR="00E47A10" w:rsidRPr="00A928FE">
        <w:rPr>
          <w:rStyle w:val="nfasis"/>
          <w:rFonts w:ascii="Arial" w:hAnsi="Arial" w:cs="Arial"/>
          <w:i w:val="0"/>
          <w:sz w:val="24"/>
          <w:szCs w:val="24"/>
        </w:rPr>
        <w:t xml:space="preserve"> posible daño renal</w:t>
      </w:r>
      <w:r w:rsidR="00E47A10">
        <w:rPr>
          <w:rStyle w:val="nfasis"/>
          <w:rFonts w:ascii="Arial" w:hAnsi="Arial" w:cs="Arial"/>
          <w:i w:val="0"/>
          <w:sz w:val="24"/>
          <w:szCs w:val="24"/>
        </w:rPr>
        <w:t xml:space="preserve"> en pacientes con factores de riesgo</w:t>
      </w:r>
      <w:r w:rsidR="0057502B">
        <w:rPr>
          <w:rStyle w:val="nfasis"/>
          <w:rFonts w:ascii="Arial" w:hAnsi="Arial" w:cs="Arial"/>
          <w:i w:val="0"/>
          <w:sz w:val="24"/>
          <w:szCs w:val="24"/>
        </w:rPr>
        <w:t xml:space="preserve"> de enfermedad renal crónica</w:t>
      </w:r>
      <w:r w:rsidR="006D24A9" w:rsidRPr="0001718B">
        <w:rPr>
          <w:rFonts w:ascii="Arial" w:hAnsi="Arial" w:cs="Arial"/>
          <w:sz w:val="24"/>
          <w:szCs w:val="24"/>
        </w:rPr>
        <w:t>.</w:t>
      </w:r>
      <w:r w:rsidR="006D24A9" w:rsidRPr="00191B42">
        <w:t xml:space="preserve"> </w:t>
      </w:r>
    </w:p>
    <w:p w:rsidR="006D0D6B" w:rsidRDefault="006D0D6B" w:rsidP="00C6585A">
      <w:pPr>
        <w:spacing w:after="0" w:line="360" w:lineRule="auto"/>
        <w:rPr>
          <w:rFonts w:ascii="Arial" w:hAnsi="Arial" w:cs="Arial"/>
          <w:b/>
          <w:caps/>
          <w:sz w:val="24"/>
          <w:szCs w:val="24"/>
        </w:rPr>
      </w:pPr>
    </w:p>
    <w:p w:rsidR="006D24A9" w:rsidRDefault="006D24A9" w:rsidP="00C6585A">
      <w:pPr>
        <w:spacing w:after="0" w:line="360" w:lineRule="auto"/>
        <w:rPr>
          <w:rFonts w:ascii="Arial" w:hAnsi="Arial" w:cs="Arial"/>
          <w:b/>
          <w:caps/>
          <w:sz w:val="24"/>
          <w:szCs w:val="24"/>
        </w:rPr>
      </w:pPr>
      <w:r w:rsidRPr="00C6585A">
        <w:rPr>
          <w:rFonts w:ascii="Arial" w:hAnsi="Arial" w:cs="Arial"/>
          <w:b/>
          <w:caps/>
          <w:sz w:val="24"/>
          <w:szCs w:val="24"/>
        </w:rPr>
        <w:t>Referencias bibliográficas</w:t>
      </w:r>
    </w:p>
    <w:p w:rsidR="00C6585A" w:rsidRPr="001656A3" w:rsidRDefault="00C6585A" w:rsidP="00C6585A">
      <w:pPr>
        <w:pStyle w:val="Prrafodelista"/>
        <w:numPr>
          <w:ilvl w:val="0"/>
          <w:numId w:val="1"/>
        </w:numPr>
        <w:spacing w:after="0" w:line="360" w:lineRule="auto"/>
        <w:ind w:left="0" w:hanging="357"/>
        <w:jc w:val="both"/>
        <w:rPr>
          <w:rFonts w:ascii="Arial" w:hAnsi="Arial" w:cs="Arial"/>
          <w:b/>
          <w:sz w:val="24"/>
          <w:szCs w:val="24"/>
        </w:rPr>
      </w:pPr>
      <w:r w:rsidRPr="001656A3">
        <w:rPr>
          <w:rFonts w:ascii="Arial" w:hAnsi="Arial" w:cs="Arial"/>
          <w:sz w:val="24"/>
          <w:szCs w:val="24"/>
        </w:rPr>
        <w:t>Pavón AJ, Escalona SO, Cisnero L, González ZC. Microalbuminuria: Método de detección precoz de enfermedad renal crónica en diabéticos.</w:t>
      </w:r>
      <w:r w:rsidRPr="001656A3">
        <w:rPr>
          <w:rFonts w:ascii="Arial" w:hAnsi="Arial" w:cs="Arial"/>
          <w:sz w:val="24"/>
          <w:szCs w:val="24"/>
        </w:rPr>
        <w:br/>
        <w:t xml:space="preserve">SPIMED [revista en Internet]. 2020 [citado 10 Ene 2023]; 1(2): [aprox. 15p]. Disponible en: </w:t>
      </w:r>
      <w:hyperlink r:id="rId9" w:history="1">
        <w:r w:rsidRPr="001656A3">
          <w:rPr>
            <w:rStyle w:val="Hipervnculo"/>
            <w:rFonts w:ascii="Arial" w:hAnsi="Arial" w:cs="Arial"/>
            <w:sz w:val="24"/>
            <w:szCs w:val="24"/>
          </w:rPr>
          <w:t>https://www.revspimed.sld.cu/index.php/spimed/</w:t>
        </w:r>
      </w:hyperlink>
    </w:p>
    <w:p w:rsidR="00C6585A" w:rsidRPr="001656A3" w:rsidRDefault="00C6585A" w:rsidP="00C6585A">
      <w:pPr>
        <w:pStyle w:val="Prrafodelista"/>
        <w:numPr>
          <w:ilvl w:val="0"/>
          <w:numId w:val="1"/>
        </w:numPr>
        <w:spacing w:after="0" w:line="360" w:lineRule="auto"/>
        <w:ind w:left="0" w:hanging="357"/>
        <w:jc w:val="both"/>
        <w:rPr>
          <w:rFonts w:ascii="Arial" w:hAnsi="Arial" w:cs="Arial"/>
          <w:b/>
          <w:sz w:val="24"/>
          <w:szCs w:val="24"/>
        </w:rPr>
      </w:pPr>
      <w:r w:rsidRPr="001656A3">
        <w:rPr>
          <w:rFonts w:ascii="Arial" w:hAnsi="Arial" w:cs="Arial"/>
          <w:color w:val="000000"/>
          <w:sz w:val="24"/>
          <w:szCs w:val="24"/>
        </w:rPr>
        <w:t xml:space="preserve">Herrera Calderón Y, Menéndez Villa ML, Serra Valdés MA. Microalbuminuria como marcador de daño renal en pacientes con hipertensión arterial. Rev Haban Cienc Méd [Internet]. 2019 [citado 10 de Ene de 2023]; 18(2):217-230. Disponible en: </w:t>
      </w:r>
      <w:r w:rsidRPr="001656A3">
        <w:rPr>
          <w:rFonts w:ascii="Arial" w:hAnsi="Arial" w:cs="Arial"/>
          <w:color w:val="0070C0"/>
          <w:sz w:val="24"/>
          <w:szCs w:val="24"/>
          <w:u w:val="single"/>
        </w:rPr>
        <w:t>http://scielo.sld.cu/scielo.php?script=sci_arttext&amp;pid=S1729-</w:t>
      </w:r>
      <w:r w:rsidRPr="001656A3">
        <w:rPr>
          <w:rFonts w:ascii="Arial" w:hAnsi="Arial" w:cs="Arial"/>
          <w:color w:val="0070C0"/>
          <w:sz w:val="24"/>
          <w:szCs w:val="24"/>
          <w:u w:val="single"/>
        </w:rPr>
        <w:br/>
        <w:t>519X2019000200217</w:t>
      </w:r>
    </w:p>
    <w:p w:rsidR="00C6585A" w:rsidRPr="001656A3" w:rsidRDefault="00C6585A" w:rsidP="00C6585A">
      <w:pPr>
        <w:pStyle w:val="Prrafodelista"/>
        <w:numPr>
          <w:ilvl w:val="0"/>
          <w:numId w:val="1"/>
        </w:numPr>
        <w:spacing w:after="0" w:line="360" w:lineRule="auto"/>
        <w:ind w:left="0" w:hanging="357"/>
        <w:jc w:val="both"/>
        <w:rPr>
          <w:rFonts w:ascii="Arial" w:hAnsi="Arial" w:cs="Arial"/>
          <w:b/>
          <w:sz w:val="24"/>
          <w:szCs w:val="24"/>
        </w:rPr>
      </w:pPr>
      <w:r w:rsidRPr="001656A3">
        <w:rPr>
          <w:rFonts w:ascii="Arial" w:hAnsi="Arial" w:cs="Arial"/>
          <w:sz w:val="24"/>
          <w:szCs w:val="24"/>
        </w:rPr>
        <w:t xml:space="preserve">Moreno F, Castillo C, Peña JK. Afectación renal en la diabetes mellitus. Medicine [revista en Internet]. 2019 [citado 10 Ene 2023]; 12(80): [aprox. 9p]. Disponible en: </w:t>
      </w:r>
      <w:hyperlink r:id="rId10" w:history="1">
        <w:r w:rsidRPr="001656A3">
          <w:rPr>
            <w:rStyle w:val="Hipervnculo"/>
            <w:rFonts w:ascii="Arial" w:hAnsi="Arial" w:cs="Arial"/>
            <w:sz w:val="24"/>
            <w:szCs w:val="24"/>
          </w:rPr>
          <w:t>https://www.medicineonline.es/es-afectacion-renal-diabetes-mellitusarticulo-S0304541219301453</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Style w:val="Hipervnculo"/>
          <w:rFonts w:ascii="Arial" w:hAnsi="Arial" w:cs="Arial"/>
          <w:color w:val="0070C0"/>
          <w:sz w:val="24"/>
          <w:szCs w:val="24"/>
        </w:rPr>
      </w:pPr>
      <w:r w:rsidRPr="001656A3">
        <w:rPr>
          <w:rFonts w:ascii="Arial" w:hAnsi="Arial" w:cs="Arial"/>
          <w:sz w:val="24"/>
          <w:szCs w:val="24"/>
        </w:rPr>
        <w:t>Ruíz A, Arranz E, García JC, García ME, Palacios D, Montero A, et al. Prevalencia de diabetes mellitus en el ámbito de la atención primaria</w:t>
      </w:r>
      <w:r w:rsidRPr="001656A3">
        <w:rPr>
          <w:rFonts w:ascii="Arial" w:hAnsi="Arial" w:cs="Arial"/>
          <w:sz w:val="24"/>
          <w:szCs w:val="24"/>
        </w:rPr>
        <w:br/>
        <w:t xml:space="preserve">española y su asociación con factores de riesgo cardiovascular y enfermedades cardiovasculares. Estudio SIMETAP-DM. Clin Invest Arterioscl [revista en Internet]. 2020 [citado 10 de Ene de 2023]; 32(1): [aprox. 11p]. </w:t>
      </w:r>
      <w:r w:rsidRPr="001656A3">
        <w:rPr>
          <w:rFonts w:ascii="Arial" w:hAnsi="Arial" w:cs="Arial"/>
          <w:sz w:val="24"/>
          <w:szCs w:val="24"/>
        </w:rPr>
        <w:lastRenderedPageBreak/>
        <w:t xml:space="preserve">Disponible en: </w:t>
      </w:r>
      <w:hyperlink r:id="rId11" w:history="1">
        <w:r w:rsidRPr="001656A3">
          <w:rPr>
            <w:rStyle w:val="Hipervnculo"/>
            <w:rFonts w:ascii="Arial" w:hAnsi="Arial" w:cs="Arial"/>
            <w:sz w:val="24"/>
            <w:szCs w:val="24"/>
          </w:rPr>
          <w:t>https://www.sciencedirect.com/science/article/pii/S021491681930049X</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color w:val="0070C0"/>
          <w:sz w:val="24"/>
          <w:szCs w:val="24"/>
          <w:u w:val="single"/>
        </w:rPr>
      </w:pPr>
      <w:r w:rsidRPr="001656A3">
        <w:rPr>
          <w:rFonts w:ascii="Arial" w:hAnsi="Arial" w:cs="Arial"/>
          <w:color w:val="303030"/>
          <w:sz w:val="24"/>
          <w:szCs w:val="24"/>
        </w:rPr>
        <w:t>Lorenzo CMB, Ortega GEA, Ortega HA, Ferreiro GLR, Carballea BM. Desarrollo de la enfermedad renal crónica en pacientes con</w:t>
      </w:r>
      <w:r w:rsidRPr="001656A3">
        <w:rPr>
          <w:rFonts w:ascii="Arial" w:hAnsi="Arial" w:cs="Arial"/>
          <w:color w:val="303030"/>
          <w:sz w:val="24"/>
          <w:szCs w:val="24"/>
        </w:rPr>
        <w:br/>
        <w:t>hipertensión arterial y/o diabetes mellitus. Universidad Médica Pinareña [revista en Internet]. 2019 [citado 10 de Ene de 2023]; 15(1): [aprox.</w:t>
      </w:r>
      <w:r w:rsidRPr="001656A3">
        <w:rPr>
          <w:rFonts w:ascii="Arial" w:hAnsi="Arial" w:cs="Arial"/>
          <w:color w:val="303030"/>
          <w:sz w:val="24"/>
          <w:szCs w:val="24"/>
        </w:rPr>
        <w:br/>
        <w:t>10 p]. Disponible en:</w:t>
      </w:r>
      <w:r w:rsidRPr="001656A3">
        <w:rPr>
          <w:rFonts w:ascii="Arial" w:hAnsi="Arial" w:cs="Arial"/>
          <w:color w:val="303030"/>
          <w:sz w:val="24"/>
          <w:szCs w:val="24"/>
        </w:rPr>
        <w:br/>
      </w:r>
      <w:hyperlink r:id="rId12" w:history="1">
        <w:r w:rsidRPr="001656A3">
          <w:rPr>
            <w:rStyle w:val="Hipervnculo"/>
            <w:rFonts w:ascii="Arial" w:hAnsi="Arial" w:cs="Arial"/>
            <w:sz w:val="24"/>
            <w:szCs w:val="24"/>
          </w:rPr>
          <w:t>https://www.medigraphic.com/cgi-bin/new/resum</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color w:val="0070C0"/>
          <w:sz w:val="24"/>
          <w:szCs w:val="24"/>
          <w:u w:val="single"/>
        </w:rPr>
      </w:pPr>
      <w:r w:rsidRPr="001656A3">
        <w:rPr>
          <w:rFonts w:ascii="Arial" w:hAnsi="Arial" w:cs="Arial"/>
          <w:sz w:val="24"/>
          <w:szCs w:val="24"/>
          <w:lang w:val="en-US"/>
        </w:rPr>
        <w:t xml:space="preserve">Heerspink HJL, Greene T, Tighiouart H, et al. Change in albuminuria as a surrogate endpoint for progression of kidney disease: a meta-analysis of treatment effects in randomised clinical trials. </w:t>
      </w:r>
      <w:r w:rsidRPr="001656A3">
        <w:rPr>
          <w:rFonts w:ascii="Arial" w:hAnsi="Arial" w:cs="Arial"/>
          <w:sz w:val="24"/>
          <w:szCs w:val="24"/>
        </w:rPr>
        <w:t xml:space="preserve">Lancet Diabetes Endocrinol. 2019 (citado 10 de Ene de 2023); 7(2):128-139. Disponible en: </w:t>
      </w:r>
      <w:hyperlink r:id="rId13" w:history="1">
        <w:r w:rsidRPr="001656A3">
          <w:rPr>
            <w:rStyle w:val="Hipervnculo"/>
            <w:rFonts w:ascii="Arial" w:hAnsi="Arial" w:cs="Arial"/>
            <w:sz w:val="24"/>
            <w:szCs w:val="24"/>
          </w:rPr>
          <w:t>https://www.clinicalkey.es/service/content/pdf/watermarked/1-s2.0-S2213858718303140.pdf?locale=es_ES&amp;searchIndex</w:t>
        </w:r>
      </w:hyperlink>
      <w:r w:rsidRPr="001656A3">
        <w:rPr>
          <w:rFonts w:ascii="Arial" w:hAnsi="Arial" w:cs="Arial"/>
          <w:sz w:val="24"/>
          <w:szCs w:val="24"/>
        </w:rPr>
        <w:t>=</w:t>
      </w:r>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sz w:val="24"/>
          <w:szCs w:val="24"/>
          <w:lang w:val="en-US"/>
        </w:rPr>
        <w:t xml:space="preserve">Baliker M, et al. Change in estimated GFR and albuminuria as end points in clinical trials: a perspective of people living with kidney disease. </w:t>
      </w:r>
      <w:r w:rsidRPr="001656A3">
        <w:rPr>
          <w:rFonts w:ascii="Arial" w:hAnsi="Arial" w:cs="Arial"/>
          <w:sz w:val="24"/>
          <w:szCs w:val="24"/>
        </w:rPr>
        <w:t xml:space="preserve">Am J Kidney Dis. 2020 (citado 10 de Ene de 2023); 75(1):9-10. Disponible en: </w:t>
      </w:r>
      <w:hyperlink r:id="rId14" w:history="1">
        <w:r w:rsidRPr="001656A3">
          <w:rPr>
            <w:rStyle w:val="Hipervnculo"/>
            <w:rFonts w:ascii="Arial" w:hAnsi="Arial" w:cs="Arial"/>
            <w:sz w:val="24"/>
            <w:szCs w:val="24"/>
          </w:rPr>
          <w:t>https://www.clinicalkey.es/service/content/pdf/watermarked/1-s2.0-S0272638619309473.pdf?locale=es_ES&amp;searchIndex</w:t>
        </w:r>
      </w:hyperlink>
      <w:r w:rsidRPr="001656A3">
        <w:rPr>
          <w:rFonts w:ascii="Arial" w:hAnsi="Arial" w:cs="Arial"/>
          <w:sz w:val="24"/>
          <w:szCs w:val="24"/>
        </w:rPr>
        <w:t>=</w:t>
      </w:r>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sz w:val="24"/>
          <w:szCs w:val="24"/>
        </w:rPr>
        <w:t xml:space="preserve">Coresh J, Heerspink HJL, Sang Y, Matsushita K, Arnlov J, Astor BC, Black C, et al. </w:t>
      </w:r>
      <w:r w:rsidRPr="001656A3">
        <w:rPr>
          <w:rFonts w:ascii="Arial" w:hAnsi="Arial" w:cs="Arial"/>
          <w:sz w:val="24"/>
          <w:szCs w:val="24"/>
          <w:lang w:val="en-US"/>
        </w:rPr>
        <w:t xml:space="preserve">Change in albuminuria and subsequent risk of end-stage kidney disease: an individual participant-level consortium meta-analysis of observational studies. </w:t>
      </w:r>
      <w:r w:rsidRPr="001656A3">
        <w:rPr>
          <w:rFonts w:ascii="Arial" w:hAnsi="Arial" w:cs="Arial"/>
          <w:sz w:val="24"/>
          <w:szCs w:val="24"/>
        </w:rPr>
        <w:t xml:space="preserve">Lancet Diabetes Endocrinol 2019 (citado 10 de Ene de 2023); Published Online January 8, 2019. (18): 303-139. Disponible en: </w:t>
      </w:r>
      <w:hyperlink r:id="rId15" w:history="1">
        <w:r w:rsidRPr="001656A3">
          <w:rPr>
            <w:rStyle w:val="Hipervnculo"/>
            <w:rFonts w:ascii="Arial" w:hAnsi="Arial" w:cs="Arial"/>
            <w:sz w:val="24"/>
            <w:szCs w:val="24"/>
          </w:rPr>
          <w:t>https://pubmed.ncbi.nlm.nih.gov/30635225/</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sz w:val="24"/>
          <w:szCs w:val="24"/>
        </w:rPr>
        <w:t xml:space="preserve">Márquez Falcón A, Cabanes Goy L, Ramos Ravelo Y, Castillo Bermúdez G, Fariñas Falcón Z, Granado Pérez R. Microalbuminuria en pacientes con diabetes tipo 2 y retinopatía diabética. Acta Médica del Centro Enero-Marzo 2022 [citado 10 de Ene de 2023]; 16(1). Disponible en: </w:t>
      </w:r>
      <w:hyperlink r:id="rId16" w:history="1">
        <w:r w:rsidRPr="001656A3">
          <w:rPr>
            <w:rStyle w:val="Hipervnculo"/>
            <w:rFonts w:ascii="Arial" w:hAnsi="Arial" w:cs="Arial"/>
            <w:sz w:val="24"/>
            <w:szCs w:val="24"/>
          </w:rPr>
          <w:t>http://scielo.sld.cu/pdf/amdc/v16n1/2709-7927-amdc-16-01-24.pdf</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Style w:val="Hipervnculo"/>
          <w:rFonts w:ascii="Arial" w:hAnsi="Arial" w:cs="Arial"/>
          <w:color w:val="auto"/>
          <w:sz w:val="24"/>
          <w:szCs w:val="24"/>
          <w:u w:val="none"/>
        </w:rPr>
      </w:pPr>
      <w:r w:rsidRPr="001656A3">
        <w:rPr>
          <w:rFonts w:ascii="Arial" w:hAnsi="Arial" w:cs="Arial"/>
          <w:sz w:val="24"/>
          <w:szCs w:val="24"/>
        </w:rPr>
        <w:t xml:space="preserve">Hinojoza-Alarcón G, Paramio-Rodríguez A. La microalbuminuria en el diagnóstico precoz del daño renal en pacientes diabéticos. Revista Finlay [revista en Internet]. 2021 (citado 10 de Ene de 2023); 11(2): [aprox. 9 p.]. Disponible en: </w:t>
      </w:r>
      <w:hyperlink r:id="rId17" w:history="1">
        <w:r w:rsidRPr="001656A3">
          <w:rPr>
            <w:rStyle w:val="Hipervnculo"/>
            <w:rFonts w:ascii="Arial" w:hAnsi="Arial" w:cs="Arial"/>
            <w:sz w:val="24"/>
            <w:szCs w:val="24"/>
          </w:rPr>
          <w:t>http://www.revfinlay.sld.cu/index.php/finlay/article/view/910ç</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lang w:val="en-US"/>
        </w:rPr>
      </w:pPr>
      <w:r w:rsidRPr="001656A3">
        <w:rPr>
          <w:rFonts w:ascii="Arial" w:hAnsi="Arial" w:cs="Arial"/>
          <w:sz w:val="24"/>
          <w:szCs w:val="24"/>
        </w:rPr>
        <w:lastRenderedPageBreak/>
        <w:t xml:space="preserve">Valle RD, Mora JMC, Martín NLCS, Pérez LH, Torres MEL, Cisneros RL, et al. </w:t>
      </w:r>
      <w:r w:rsidRPr="001656A3">
        <w:rPr>
          <w:rFonts w:ascii="Arial" w:hAnsi="Arial" w:cs="Arial"/>
          <w:sz w:val="24"/>
          <w:szCs w:val="24"/>
          <w:lang w:val="en-US"/>
        </w:rPr>
        <w:t>An enzyme immunoassay for determining albumin in human urine samples using an ultra-microanalytical system. Journal of Immunoassay and Immunochemistry [Internet]. 2020 [citado 10 Ene 2023]; 41(5):896-912. Disponible en:</w:t>
      </w:r>
      <w:r w:rsidRPr="001656A3">
        <w:rPr>
          <w:rFonts w:ascii="Arial" w:hAnsi="Arial" w:cs="Arial"/>
          <w:color w:val="0000FF"/>
          <w:sz w:val="24"/>
          <w:szCs w:val="24"/>
          <w:u w:val="single"/>
          <w:lang w:val="en-US"/>
        </w:rPr>
        <w:t xml:space="preserve"> </w:t>
      </w:r>
      <w:hyperlink r:id="rId18" w:history="1">
        <w:r w:rsidRPr="001656A3">
          <w:rPr>
            <w:rStyle w:val="Hipervnculo"/>
            <w:rFonts w:ascii="Arial" w:hAnsi="Arial" w:cs="Arial"/>
            <w:sz w:val="24"/>
            <w:szCs w:val="24"/>
            <w:lang w:val="en-US"/>
          </w:rPr>
          <w:t>https://pubmed.ncbi.nlm.nih.gov/32799635/</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iCs/>
          <w:sz w:val="24"/>
          <w:szCs w:val="24"/>
        </w:rPr>
        <w:t xml:space="preserve">Doğan Alataş O, Biteker M, Demir A, Yıldırım B, Acar E, Gökçek K, et al. </w:t>
      </w:r>
      <w:r w:rsidRPr="001656A3">
        <w:rPr>
          <w:rFonts w:ascii="Arial" w:hAnsi="Arial" w:cs="Arial"/>
          <w:iCs/>
          <w:sz w:val="24"/>
          <w:szCs w:val="24"/>
          <w:lang w:val="en-US"/>
        </w:rPr>
        <w:t xml:space="preserve">Microalbuminuria and its Prognostic Significance in Patients with Acute Heart Failure with Preserved, MidRange, and Reduced Ejection Fraction. </w:t>
      </w:r>
      <w:r w:rsidRPr="001656A3">
        <w:rPr>
          <w:rFonts w:ascii="Arial" w:hAnsi="Arial" w:cs="Arial"/>
          <w:sz w:val="24"/>
          <w:szCs w:val="24"/>
        </w:rPr>
        <w:t xml:space="preserve">Arq Bras Cardiol. 2022 (citado 10 de Ene de 2023); 118(4):703-709. Disponible en: </w:t>
      </w:r>
      <w:hyperlink r:id="rId19" w:history="1">
        <w:r w:rsidRPr="001656A3">
          <w:rPr>
            <w:rStyle w:val="Hipervnculo"/>
            <w:rFonts w:ascii="Arial" w:hAnsi="Arial" w:cs="Arial"/>
            <w:sz w:val="24"/>
            <w:szCs w:val="24"/>
          </w:rPr>
          <w:t>https://pubmed.ncbi.nlm.nih.gov/35137781/</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sz w:val="24"/>
          <w:szCs w:val="24"/>
          <w:lang w:val="en-US"/>
        </w:rPr>
        <w:t xml:space="preserve">Andrew S, et al. Levey Change in Albuminuria and GFR as End Points for Clinical Trials in Early Stages of CKD: A Scientific Workshop Sponsored by the National Kidney Foundation in Collaboration with the US Food and Drug Administration and European Medicines Agency. </w:t>
      </w:r>
      <w:r w:rsidRPr="001656A3">
        <w:rPr>
          <w:rFonts w:ascii="Arial" w:hAnsi="Arial" w:cs="Arial"/>
          <w:sz w:val="24"/>
          <w:szCs w:val="24"/>
        </w:rPr>
        <w:t xml:space="preserve">AJKD January 2020 (citado 10 de Ene de 2023); 75(1) Disponible en: </w:t>
      </w:r>
      <w:hyperlink r:id="rId20" w:history="1">
        <w:r w:rsidRPr="001656A3">
          <w:rPr>
            <w:rStyle w:val="Hipervnculo"/>
            <w:rFonts w:ascii="Arial" w:hAnsi="Arial" w:cs="Arial"/>
            <w:sz w:val="24"/>
            <w:szCs w:val="24"/>
          </w:rPr>
          <w:t>https://www.sciencedirect.com/science/article/pii/S0272638619308832?via%3Dihub</w:t>
        </w:r>
      </w:hyperlink>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sz w:val="24"/>
          <w:szCs w:val="24"/>
          <w:lang w:val="en-US"/>
        </w:rPr>
        <w:t xml:space="preserve">Thompson A, Smith K, Lawrence J. Change in estimated GFR and albuminuria as end points in clinical trials: a viewpoint from the FDA. </w:t>
      </w:r>
      <w:r w:rsidRPr="001656A3">
        <w:rPr>
          <w:rFonts w:ascii="Arial" w:hAnsi="Arial" w:cs="Arial"/>
          <w:sz w:val="24"/>
          <w:szCs w:val="24"/>
        </w:rPr>
        <w:t xml:space="preserve">Am J Kidney Dis. 2020 (citado 10 de Ene de 2023); 75(1):4-5. Disponible en: </w:t>
      </w:r>
      <w:hyperlink r:id="rId21" w:history="1">
        <w:r w:rsidRPr="001656A3">
          <w:rPr>
            <w:rStyle w:val="Hipervnculo"/>
            <w:rFonts w:ascii="Arial" w:hAnsi="Arial" w:cs="Arial"/>
            <w:sz w:val="24"/>
            <w:szCs w:val="24"/>
          </w:rPr>
          <w:t>https://www.clinicalkey.es/service/content/pdf/watermarked/1-s2.0-S0272638619309461.pdf?locale=es_ES&amp;searchIndex</w:t>
        </w:r>
      </w:hyperlink>
      <w:r w:rsidRPr="001656A3">
        <w:rPr>
          <w:rFonts w:ascii="Arial" w:hAnsi="Arial" w:cs="Arial"/>
          <w:sz w:val="24"/>
          <w:szCs w:val="24"/>
        </w:rPr>
        <w:t>=</w:t>
      </w:r>
    </w:p>
    <w:p w:rsidR="00C6585A" w:rsidRPr="001656A3" w:rsidRDefault="00C6585A" w:rsidP="00C6585A">
      <w:pPr>
        <w:numPr>
          <w:ilvl w:val="0"/>
          <w:numId w:val="1"/>
        </w:numPr>
        <w:tabs>
          <w:tab w:val="left" w:pos="426"/>
        </w:tabs>
        <w:autoSpaceDE w:val="0"/>
        <w:autoSpaceDN w:val="0"/>
        <w:adjustRightInd w:val="0"/>
        <w:spacing w:after="0" w:line="360" w:lineRule="auto"/>
        <w:ind w:left="0"/>
        <w:contextualSpacing/>
        <w:jc w:val="both"/>
        <w:rPr>
          <w:rFonts w:ascii="Arial" w:hAnsi="Arial" w:cs="Arial"/>
          <w:sz w:val="24"/>
          <w:szCs w:val="24"/>
        </w:rPr>
      </w:pPr>
      <w:r w:rsidRPr="001656A3">
        <w:rPr>
          <w:rFonts w:ascii="Arial" w:hAnsi="Arial" w:cs="Arial"/>
          <w:color w:val="000000"/>
          <w:sz w:val="24"/>
          <w:szCs w:val="24"/>
          <w:lang w:val="en-US"/>
        </w:rPr>
        <w:t xml:space="preserve">Heerspink H, Greene T, Tighiouart H, Gansevoort R, Coresh J, Simon A, et al. Change in albuminuria as a surrogate endpoint for progression of kidney disease: a meta-analysis of treatment effects in randomised clinical trials. </w:t>
      </w:r>
      <w:r w:rsidRPr="001656A3">
        <w:rPr>
          <w:rFonts w:ascii="Arial" w:hAnsi="Arial" w:cs="Arial"/>
          <w:color w:val="000000"/>
          <w:sz w:val="24"/>
          <w:szCs w:val="24"/>
        </w:rPr>
        <w:t xml:space="preserve">Lancet Diabetes Endocrinol [revista en internet]. 2019 [citado 10 de Ene de 2023]; 7: 128–39. Disponible en: </w:t>
      </w:r>
      <w:hyperlink r:id="rId22" w:history="1">
        <w:r w:rsidRPr="001656A3">
          <w:rPr>
            <w:rStyle w:val="Hipervnculo"/>
            <w:rFonts w:ascii="Arial" w:hAnsi="Arial" w:cs="Arial"/>
            <w:sz w:val="24"/>
            <w:szCs w:val="24"/>
          </w:rPr>
          <w:t>https://pubmed.ncbi.nlm.nih.gov/30635226/</w:t>
        </w:r>
      </w:hyperlink>
    </w:p>
    <w:p w:rsidR="00C6585A" w:rsidRPr="00C6585A" w:rsidRDefault="00C6585A" w:rsidP="00C6585A">
      <w:pPr>
        <w:spacing w:after="0" w:line="360" w:lineRule="auto"/>
        <w:rPr>
          <w:rFonts w:ascii="Arial" w:hAnsi="Arial" w:cs="Arial"/>
          <w:b/>
          <w:caps/>
          <w:sz w:val="24"/>
          <w:szCs w:val="24"/>
        </w:rPr>
      </w:pPr>
      <w:r w:rsidRPr="001656A3">
        <w:rPr>
          <w:rStyle w:val="Hipervnculo"/>
          <w:rFonts w:ascii="Arial" w:hAnsi="Arial" w:cs="Arial"/>
          <w:color w:val="auto"/>
          <w:sz w:val="24"/>
          <w:szCs w:val="24"/>
          <w:u w:val="none"/>
        </w:rPr>
        <w:t xml:space="preserve">González ZC, Díaz MJ, Escalona SO. Albuminuria como factor predictor de nefropatía hipertensiva. Rev Electrónica Dr. Zoilo E. Marinello Vidaurreta [revista en Internet]. 2019 [citado 10 de Ene de 2023]; 44(5): [aprox. 6p]. Disponible en: </w:t>
      </w:r>
      <w:hyperlink r:id="rId23" w:history="1">
        <w:r w:rsidRPr="001656A3">
          <w:rPr>
            <w:rStyle w:val="Hipervnculo"/>
            <w:rFonts w:ascii="Arial" w:hAnsi="Arial" w:cs="Arial"/>
            <w:sz w:val="24"/>
            <w:szCs w:val="24"/>
          </w:rPr>
          <w:t>https://revzoilomarinello.sld.cu/index.php/zmv/article/view/1923/pdf_626</w:t>
        </w:r>
      </w:hyperlink>
    </w:p>
    <w:sectPr w:rsidR="00C6585A" w:rsidRPr="00C658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823" w:rsidRDefault="00182823" w:rsidP="00A928FE">
      <w:pPr>
        <w:spacing w:after="0" w:line="240" w:lineRule="auto"/>
      </w:pPr>
      <w:r>
        <w:separator/>
      </w:r>
    </w:p>
  </w:endnote>
  <w:endnote w:type="continuationSeparator" w:id="0">
    <w:p w:rsidR="00182823" w:rsidRDefault="00182823" w:rsidP="00A9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823" w:rsidRDefault="00182823" w:rsidP="00A928FE">
      <w:pPr>
        <w:spacing w:after="0" w:line="240" w:lineRule="auto"/>
      </w:pPr>
      <w:r>
        <w:separator/>
      </w:r>
    </w:p>
  </w:footnote>
  <w:footnote w:type="continuationSeparator" w:id="0">
    <w:p w:rsidR="00182823" w:rsidRDefault="00182823" w:rsidP="00A928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0000"/>
    <w:multiLevelType w:val="hybridMultilevel"/>
    <w:tmpl w:val="D598B05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212869"/>
    <w:multiLevelType w:val="multilevel"/>
    <w:tmpl w:val="17FA31D0"/>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65EB22D7"/>
    <w:multiLevelType w:val="multilevel"/>
    <w:tmpl w:val="AAF2AE98"/>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A9"/>
    <w:rsid w:val="00001A4D"/>
    <w:rsid w:val="00012844"/>
    <w:rsid w:val="00017B9B"/>
    <w:rsid w:val="000264B6"/>
    <w:rsid w:val="00030722"/>
    <w:rsid w:val="00035F29"/>
    <w:rsid w:val="000457E0"/>
    <w:rsid w:val="00047182"/>
    <w:rsid w:val="000518B2"/>
    <w:rsid w:val="00053972"/>
    <w:rsid w:val="00057B9F"/>
    <w:rsid w:val="000676A6"/>
    <w:rsid w:val="0007013B"/>
    <w:rsid w:val="000B420E"/>
    <w:rsid w:val="000D6017"/>
    <w:rsid w:val="000F145E"/>
    <w:rsid w:val="0011671E"/>
    <w:rsid w:val="00117525"/>
    <w:rsid w:val="00134D57"/>
    <w:rsid w:val="00160CA1"/>
    <w:rsid w:val="00170687"/>
    <w:rsid w:val="00182823"/>
    <w:rsid w:val="00182BED"/>
    <w:rsid w:val="00190B1D"/>
    <w:rsid w:val="0019731E"/>
    <w:rsid w:val="001B3C9F"/>
    <w:rsid w:val="001B7288"/>
    <w:rsid w:val="001C2211"/>
    <w:rsid w:val="001C45CE"/>
    <w:rsid w:val="001E54BC"/>
    <w:rsid w:val="001E66EB"/>
    <w:rsid w:val="00203508"/>
    <w:rsid w:val="002130BE"/>
    <w:rsid w:val="002134B7"/>
    <w:rsid w:val="0022136B"/>
    <w:rsid w:val="00225EFA"/>
    <w:rsid w:val="00227BF1"/>
    <w:rsid w:val="002352C1"/>
    <w:rsid w:val="00262BFF"/>
    <w:rsid w:val="00280E92"/>
    <w:rsid w:val="00282439"/>
    <w:rsid w:val="002A203A"/>
    <w:rsid w:val="002B708E"/>
    <w:rsid w:val="002B7245"/>
    <w:rsid w:val="002C1F48"/>
    <w:rsid w:val="002C4A2B"/>
    <w:rsid w:val="002D438A"/>
    <w:rsid w:val="002D70D5"/>
    <w:rsid w:val="00307C3C"/>
    <w:rsid w:val="00342A7A"/>
    <w:rsid w:val="00342E50"/>
    <w:rsid w:val="00351741"/>
    <w:rsid w:val="003616D9"/>
    <w:rsid w:val="003829A6"/>
    <w:rsid w:val="003B4391"/>
    <w:rsid w:val="003C2E22"/>
    <w:rsid w:val="003C436D"/>
    <w:rsid w:val="003D5678"/>
    <w:rsid w:val="003E0CFC"/>
    <w:rsid w:val="00404B81"/>
    <w:rsid w:val="00405551"/>
    <w:rsid w:val="004059F4"/>
    <w:rsid w:val="00415229"/>
    <w:rsid w:val="00420392"/>
    <w:rsid w:val="00426590"/>
    <w:rsid w:val="00442965"/>
    <w:rsid w:val="00451F88"/>
    <w:rsid w:val="00456CEA"/>
    <w:rsid w:val="00463CAB"/>
    <w:rsid w:val="00474CB9"/>
    <w:rsid w:val="0048512C"/>
    <w:rsid w:val="004A2057"/>
    <w:rsid w:val="004B50FC"/>
    <w:rsid w:val="004E59BF"/>
    <w:rsid w:val="00504F26"/>
    <w:rsid w:val="0050550A"/>
    <w:rsid w:val="005243B8"/>
    <w:rsid w:val="00526343"/>
    <w:rsid w:val="005265B0"/>
    <w:rsid w:val="0053680E"/>
    <w:rsid w:val="00547327"/>
    <w:rsid w:val="0057502B"/>
    <w:rsid w:val="00575500"/>
    <w:rsid w:val="00582D32"/>
    <w:rsid w:val="005843D5"/>
    <w:rsid w:val="005A2221"/>
    <w:rsid w:val="005A7133"/>
    <w:rsid w:val="005B7718"/>
    <w:rsid w:val="005C37C2"/>
    <w:rsid w:val="005D2647"/>
    <w:rsid w:val="00600ACE"/>
    <w:rsid w:val="00613238"/>
    <w:rsid w:val="006135FA"/>
    <w:rsid w:val="0061408C"/>
    <w:rsid w:val="00615CC5"/>
    <w:rsid w:val="006256E4"/>
    <w:rsid w:val="0063559F"/>
    <w:rsid w:val="00640684"/>
    <w:rsid w:val="006516C4"/>
    <w:rsid w:val="00680970"/>
    <w:rsid w:val="00681612"/>
    <w:rsid w:val="0068296E"/>
    <w:rsid w:val="00686AC3"/>
    <w:rsid w:val="006873EB"/>
    <w:rsid w:val="00691AE9"/>
    <w:rsid w:val="006A043D"/>
    <w:rsid w:val="006A702C"/>
    <w:rsid w:val="006A7949"/>
    <w:rsid w:val="006D0D6B"/>
    <w:rsid w:val="006D1233"/>
    <w:rsid w:val="006D1EDE"/>
    <w:rsid w:val="006D24A9"/>
    <w:rsid w:val="006D3FE3"/>
    <w:rsid w:val="006E59E8"/>
    <w:rsid w:val="006F06E5"/>
    <w:rsid w:val="006F3DC1"/>
    <w:rsid w:val="006F58E5"/>
    <w:rsid w:val="007018F4"/>
    <w:rsid w:val="00703ED8"/>
    <w:rsid w:val="00705056"/>
    <w:rsid w:val="00706BFB"/>
    <w:rsid w:val="007104D2"/>
    <w:rsid w:val="00721B3A"/>
    <w:rsid w:val="00750C56"/>
    <w:rsid w:val="007525CD"/>
    <w:rsid w:val="007558D4"/>
    <w:rsid w:val="00764249"/>
    <w:rsid w:val="007667B9"/>
    <w:rsid w:val="00773511"/>
    <w:rsid w:val="00793627"/>
    <w:rsid w:val="007A0045"/>
    <w:rsid w:val="007A4E30"/>
    <w:rsid w:val="007A7339"/>
    <w:rsid w:val="007A7829"/>
    <w:rsid w:val="007B7682"/>
    <w:rsid w:val="007E1184"/>
    <w:rsid w:val="007E2D50"/>
    <w:rsid w:val="007E4298"/>
    <w:rsid w:val="00821170"/>
    <w:rsid w:val="00823B79"/>
    <w:rsid w:val="00837C43"/>
    <w:rsid w:val="00841A36"/>
    <w:rsid w:val="0085088F"/>
    <w:rsid w:val="0085571F"/>
    <w:rsid w:val="008711A0"/>
    <w:rsid w:val="0087231D"/>
    <w:rsid w:val="00877640"/>
    <w:rsid w:val="00895D88"/>
    <w:rsid w:val="008B0403"/>
    <w:rsid w:val="008B7B7C"/>
    <w:rsid w:val="008E4E46"/>
    <w:rsid w:val="008F0A5D"/>
    <w:rsid w:val="00900E22"/>
    <w:rsid w:val="009075FC"/>
    <w:rsid w:val="009129B1"/>
    <w:rsid w:val="00926969"/>
    <w:rsid w:val="00931829"/>
    <w:rsid w:val="0096198A"/>
    <w:rsid w:val="00970D35"/>
    <w:rsid w:val="00991E00"/>
    <w:rsid w:val="009A7232"/>
    <w:rsid w:val="009B45C5"/>
    <w:rsid w:val="009D7BC6"/>
    <w:rsid w:val="009E268E"/>
    <w:rsid w:val="009F45AB"/>
    <w:rsid w:val="009F6EC5"/>
    <w:rsid w:val="00A105F9"/>
    <w:rsid w:val="00A14D8C"/>
    <w:rsid w:val="00A23BB4"/>
    <w:rsid w:val="00A25808"/>
    <w:rsid w:val="00A415E8"/>
    <w:rsid w:val="00A52014"/>
    <w:rsid w:val="00A725DA"/>
    <w:rsid w:val="00A743FA"/>
    <w:rsid w:val="00A75BC1"/>
    <w:rsid w:val="00A903B6"/>
    <w:rsid w:val="00A928FE"/>
    <w:rsid w:val="00A969F3"/>
    <w:rsid w:val="00AB4DFD"/>
    <w:rsid w:val="00AC1315"/>
    <w:rsid w:val="00AD153A"/>
    <w:rsid w:val="00B068F9"/>
    <w:rsid w:val="00B07C22"/>
    <w:rsid w:val="00B1002D"/>
    <w:rsid w:val="00B155B3"/>
    <w:rsid w:val="00B27D49"/>
    <w:rsid w:val="00B34982"/>
    <w:rsid w:val="00B43B7E"/>
    <w:rsid w:val="00B52658"/>
    <w:rsid w:val="00B54FA9"/>
    <w:rsid w:val="00B63C1C"/>
    <w:rsid w:val="00BA1EC5"/>
    <w:rsid w:val="00BA3828"/>
    <w:rsid w:val="00BB089A"/>
    <w:rsid w:val="00BC1655"/>
    <w:rsid w:val="00BC3B09"/>
    <w:rsid w:val="00BC63B8"/>
    <w:rsid w:val="00BD2456"/>
    <w:rsid w:val="00BE094A"/>
    <w:rsid w:val="00C17564"/>
    <w:rsid w:val="00C20A84"/>
    <w:rsid w:val="00C44ECB"/>
    <w:rsid w:val="00C45C8B"/>
    <w:rsid w:val="00C61D69"/>
    <w:rsid w:val="00C6585A"/>
    <w:rsid w:val="00C8374B"/>
    <w:rsid w:val="00C83BC8"/>
    <w:rsid w:val="00C86AAC"/>
    <w:rsid w:val="00CB68B4"/>
    <w:rsid w:val="00CD51A5"/>
    <w:rsid w:val="00CE1DD6"/>
    <w:rsid w:val="00CF5A27"/>
    <w:rsid w:val="00D0192D"/>
    <w:rsid w:val="00D05D92"/>
    <w:rsid w:val="00D1217C"/>
    <w:rsid w:val="00D30E2F"/>
    <w:rsid w:val="00D33590"/>
    <w:rsid w:val="00D53BD8"/>
    <w:rsid w:val="00D6744F"/>
    <w:rsid w:val="00D94375"/>
    <w:rsid w:val="00DA69CC"/>
    <w:rsid w:val="00DE7FFB"/>
    <w:rsid w:val="00DF3567"/>
    <w:rsid w:val="00DF58BD"/>
    <w:rsid w:val="00DF7A36"/>
    <w:rsid w:val="00E05E3C"/>
    <w:rsid w:val="00E104FA"/>
    <w:rsid w:val="00E12611"/>
    <w:rsid w:val="00E457AE"/>
    <w:rsid w:val="00E465F0"/>
    <w:rsid w:val="00E47A10"/>
    <w:rsid w:val="00E55C43"/>
    <w:rsid w:val="00E708C9"/>
    <w:rsid w:val="00E74670"/>
    <w:rsid w:val="00E81DE9"/>
    <w:rsid w:val="00E92448"/>
    <w:rsid w:val="00F15C71"/>
    <w:rsid w:val="00F2200E"/>
    <w:rsid w:val="00F33344"/>
    <w:rsid w:val="00F45F69"/>
    <w:rsid w:val="00F510D9"/>
    <w:rsid w:val="00F70F91"/>
    <w:rsid w:val="00F72EA3"/>
    <w:rsid w:val="00F7444D"/>
    <w:rsid w:val="00F8452B"/>
    <w:rsid w:val="00F943F0"/>
    <w:rsid w:val="00FA0221"/>
    <w:rsid w:val="00FB4B9E"/>
    <w:rsid w:val="00FB528A"/>
    <w:rsid w:val="00FC7A7E"/>
    <w:rsid w:val="00FE04B7"/>
    <w:rsid w:val="00FE51A5"/>
    <w:rsid w:val="00FE5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ED87D-31BA-47C7-8E11-7A0A84D0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6D24A9"/>
    <w:rPr>
      <w:rFonts w:ascii="Times-Roman" w:hAnsi="Times-Roman" w:hint="default"/>
      <w:b w:val="0"/>
      <w:bCs w:val="0"/>
      <w:i w:val="0"/>
      <w:iCs w:val="0"/>
      <w:color w:val="0D006F"/>
      <w:sz w:val="16"/>
      <w:szCs w:val="16"/>
    </w:rPr>
  </w:style>
  <w:style w:type="paragraph" w:styleId="Prrafodelista">
    <w:name w:val="List Paragraph"/>
    <w:basedOn w:val="Normal"/>
    <w:uiPriority w:val="34"/>
    <w:qFormat/>
    <w:rsid w:val="006D24A9"/>
    <w:pPr>
      <w:ind w:left="720"/>
      <w:contextualSpacing/>
    </w:pPr>
  </w:style>
  <w:style w:type="character" w:styleId="Hipervnculo">
    <w:name w:val="Hyperlink"/>
    <w:basedOn w:val="Fuentedeprrafopredeter"/>
    <w:uiPriority w:val="99"/>
    <w:unhideWhenUsed/>
    <w:rsid w:val="006D24A9"/>
    <w:rPr>
      <w:color w:val="0563C1" w:themeColor="hyperlink"/>
      <w:u w:val="single"/>
    </w:rPr>
  </w:style>
  <w:style w:type="table" w:styleId="Tablaconcuadrcula">
    <w:name w:val="Table Grid"/>
    <w:basedOn w:val="Tablanormal"/>
    <w:uiPriority w:val="39"/>
    <w:rsid w:val="006D2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05F9"/>
    <w:pPr>
      <w:autoSpaceDE w:val="0"/>
      <w:autoSpaceDN w:val="0"/>
      <w:adjustRightInd w:val="0"/>
      <w:spacing w:after="0" w:line="240" w:lineRule="auto"/>
    </w:pPr>
    <w:rPr>
      <w:rFonts w:ascii="Verdana" w:hAnsi="Verdana" w:cs="Verdana"/>
      <w:color w:val="000000"/>
      <w:sz w:val="24"/>
      <w:szCs w:val="24"/>
      <w:lang w:val="es-EC"/>
    </w:rPr>
  </w:style>
  <w:style w:type="character" w:styleId="nfasis">
    <w:name w:val="Emphasis"/>
    <w:basedOn w:val="Fuentedeprrafopredeter"/>
    <w:uiPriority w:val="20"/>
    <w:qFormat/>
    <w:rsid w:val="00A928FE"/>
    <w:rPr>
      <w:i/>
      <w:iCs/>
    </w:rPr>
  </w:style>
  <w:style w:type="paragraph" w:styleId="Encabezado">
    <w:name w:val="header"/>
    <w:basedOn w:val="Normal"/>
    <w:link w:val="EncabezadoCar"/>
    <w:uiPriority w:val="99"/>
    <w:unhideWhenUsed/>
    <w:rsid w:val="00A928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28FE"/>
  </w:style>
  <w:style w:type="paragraph" w:styleId="Piedepgina">
    <w:name w:val="footer"/>
    <w:basedOn w:val="Normal"/>
    <w:link w:val="PiedepginaCar"/>
    <w:uiPriority w:val="99"/>
    <w:unhideWhenUsed/>
    <w:rsid w:val="00A928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28FE"/>
  </w:style>
  <w:style w:type="character" w:styleId="Textoennegrita">
    <w:name w:val="Strong"/>
    <w:basedOn w:val="Fuentedeprrafopredeter"/>
    <w:uiPriority w:val="22"/>
    <w:qFormat/>
    <w:rsid w:val="00474CB9"/>
    <w:rPr>
      <w:b/>
      <w:bCs/>
    </w:rPr>
  </w:style>
  <w:style w:type="paragraph" w:customStyle="1" w:styleId="Standard">
    <w:name w:val="Standard"/>
    <w:rsid w:val="00FE51A5"/>
    <w:pPr>
      <w:suppressAutoHyphens/>
      <w:autoSpaceDN w:val="0"/>
      <w:spacing w:after="0" w:line="360" w:lineRule="auto"/>
      <w:jc w:val="both"/>
      <w:textAlignment w:val="baseline"/>
    </w:pPr>
    <w:rPr>
      <w:rFonts w:ascii="Times New Roman" w:eastAsia="Times New Roman" w:hAnsi="Times New Roman" w:cs="Times New Roman"/>
      <w:kern w:val="3"/>
      <w:sz w:val="24"/>
      <w:szCs w:val="20"/>
      <w:lang w:val="en-GB" w:eastAsia="zh-CN"/>
    </w:rPr>
  </w:style>
  <w:style w:type="numbering" w:customStyle="1" w:styleId="WW8Num2">
    <w:name w:val="WW8Num2"/>
    <w:basedOn w:val="Sinlista"/>
    <w:rsid w:val="00456CEA"/>
    <w:pPr>
      <w:numPr>
        <w:numId w:val="2"/>
      </w:numPr>
    </w:pPr>
  </w:style>
  <w:style w:type="numbering" w:customStyle="1" w:styleId="WW8Num4">
    <w:name w:val="WW8Num4"/>
    <w:basedOn w:val="Sinlista"/>
    <w:rsid w:val="00456CEA"/>
    <w:pPr>
      <w:numPr>
        <w:numId w:val="3"/>
      </w:numPr>
    </w:pPr>
  </w:style>
  <w:style w:type="character" w:customStyle="1" w:styleId="hgkelc">
    <w:name w:val="hgkelc"/>
    <w:basedOn w:val="Fuentedeprrafopredeter"/>
    <w:rsid w:val="0003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fch@infomed.sld.cu" TargetMode="External"/><Relationship Id="rId13" Type="http://schemas.openxmlformats.org/officeDocument/2006/relationships/hyperlink" Target="https://www.clinicalkey.es/service/content/pdf/watermarked/1-s2.0-S2213858718303140.pdf?locale=es_ES&amp;searchIndex" TargetMode="External"/><Relationship Id="rId18" Type="http://schemas.openxmlformats.org/officeDocument/2006/relationships/hyperlink" Target="https://pubmed.ncbi.nlm.nih.gov/32799635/" TargetMode="External"/><Relationship Id="rId3" Type="http://schemas.openxmlformats.org/officeDocument/2006/relationships/styles" Target="styles.xml"/><Relationship Id="rId21" Type="http://schemas.openxmlformats.org/officeDocument/2006/relationships/hyperlink" Target="https://www.clinicalkey.es/service/content/pdf/watermarked/1-s2.0-S0272638619309461.pdf?locale=es_ES&amp;searchIndex" TargetMode="External"/><Relationship Id="rId7" Type="http://schemas.openxmlformats.org/officeDocument/2006/relationships/endnotes" Target="endnotes.xml"/><Relationship Id="rId12" Type="http://schemas.openxmlformats.org/officeDocument/2006/relationships/hyperlink" Target="https://www.medigraphic.com/cgi-bin/new/resum" TargetMode="External"/><Relationship Id="rId17" Type="http://schemas.openxmlformats.org/officeDocument/2006/relationships/hyperlink" Target="http://www.revfinlay.sld.cu/index.php/finlay/article/view/910&#2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elo.sld.cu/pdf/amdc/v16n1/2709-7927-amdc-16-01-24.pdf" TargetMode="External"/><Relationship Id="rId20" Type="http://schemas.openxmlformats.org/officeDocument/2006/relationships/hyperlink" Target="https://www.sciencedirect.com/science/article/pii/S0272638619308832?via%3Dih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21491681930049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30635225/" TargetMode="External"/><Relationship Id="rId23" Type="http://schemas.openxmlformats.org/officeDocument/2006/relationships/hyperlink" Target="https://revzoilomarinello.sld.cu/index.php/zmv/article/view/1923/pdf_626" TargetMode="External"/><Relationship Id="rId10" Type="http://schemas.openxmlformats.org/officeDocument/2006/relationships/hyperlink" Target="https://www.medicineonline.es/es-afectacion-renal-diabetes-mellitusarticulo-S0304541219301453" TargetMode="External"/><Relationship Id="rId19" Type="http://schemas.openxmlformats.org/officeDocument/2006/relationships/hyperlink" Target="https://pubmed.ncbi.nlm.nih.gov/35137781/" TargetMode="External"/><Relationship Id="rId4" Type="http://schemas.openxmlformats.org/officeDocument/2006/relationships/settings" Target="settings.xml"/><Relationship Id="rId9" Type="http://schemas.openxmlformats.org/officeDocument/2006/relationships/hyperlink" Target="https://www.revspimed.sld.cu/index.php/spimed/" TargetMode="External"/><Relationship Id="rId14" Type="http://schemas.openxmlformats.org/officeDocument/2006/relationships/hyperlink" Target="https://www.clinicalkey.es/service/content/pdf/watermarked/1-s2.0-S0272638619309473.pdf?locale=es_ES&amp;searchIndex" TargetMode="External"/><Relationship Id="rId22" Type="http://schemas.openxmlformats.org/officeDocument/2006/relationships/hyperlink" Target="https://pubmed.ncbi.nlm.nih.gov/306352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2AE8-1644-40EE-A1A2-796F82CF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3154</Words>
  <Characters>17352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24</cp:revision>
  <dcterms:created xsi:type="dcterms:W3CDTF">2023-08-01T14:15:00Z</dcterms:created>
  <dcterms:modified xsi:type="dcterms:W3CDTF">2009-01-01T09:11:00Z</dcterms:modified>
</cp:coreProperties>
</file>