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A86" w:rsidRPr="00A640C5" w:rsidRDefault="00B64A86" w:rsidP="00A640C5">
      <w:pPr>
        <w:pStyle w:val="Sinespaciado"/>
        <w:tabs>
          <w:tab w:val="left" w:pos="4937"/>
        </w:tabs>
        <w:spacing w:line="360" w:lineRule="auto"/>
        <w:ind w:left="-308"/>
        <w:jc w:val="center"/>
        <w:rPr>
          <w:rFonts w:ascii="Arial" w:hAnsi="Arial" w:cs="Arial"/>
          <w:caps/>
          <w:color w:val="191919"/>
          <w:sz w:val="28"/>
          <w:szCs w:val="24"/>
        </w:rPr>
      </w:pPr>
      <w:r w:rsidRPr="00A640C5">
        <w:rPr>
          <w:rFonts w:ascii="Arial" w:eastAsia="Calibri" w:hAnsi="Arial" w:cs="Arial"/>
          <w:b/>
          <w:sz w:val="28"/>
          <w:szCs w:val="24"/>
          <w:lang w:eastAsia="zh-CN"/>
        </w:rPr>
        <w:t>Evolución clínica y calidad de vida de los pacientes tratados con Heberprot-P en Fomento.</w:t>
      </w:r>
    </w:p>
    <w:p w:rsidR="00B64A86" w:rsidRPr="00BF4538" w:rsidRDefault="00B64A86" w:rsidP="00BF4538">
      <w:pPr>
        <w:spacing w:line="360" w:lineRule="auto"/>
        <w:jc w:val="both"/>
        <w:rPr>
          <w:rFonts w:ascii="Arial" w:eastAsia="Calibri" w:hAnsi="Arial" w:cs="Arial"/>
          <w:sz w:val="24"/>
          <w:szCs w:val="24"/>
          <w:lang w:val="pt-BR" w:eastAsia="es-ES_tradnl"/>
        </w:rPr>
      </w:pPr>
      <w:r w:rsidRPr="00BF4538">
        <w:rPr>
          <w:rFonts w:ascii="Arial" w:eastAsia="Calibri" w:hAnsi="Arial" w:cs="Arial"/>
          <w:b/>
          <w:sz w:val="24"/>
          <w:szCs w:val="24"/>
          <w:lang w:eastAsia="zh-CN"/>
        </w:rPr>
        <w:t>Autor:</w:t>
      </w:r>
      <w:r w:rsidRPr="00BF4538">
        <w:rPr>
          <w:rFonts w:ascii="Arial" w:eastAsia="Calibri" w:hAnsi="Arial" w:cs="Arial"/>
          <w:sz w:val="24"/>
          <w:szCs w:val="24"/>
          <w:lang w:val="pt-BR" w:eastAsia="es-ES_tradnl"/>
        </w:rPr>
        <w:t xml:space="preserve"> Dr. Jim Alex González Consuegra. Especialista en Medicina General Integral.Profesor instructor.</w:t>
      </w:r>
    </w:p>
    <w:p w:rsidR="00F35E49" w:rsidRPr="00BF4538" w:rsidRDefault="00B64A86" w:rsidP="00BF4538">
      <w:pPr>
        <w:spacing w:line="360" w:lineRule="auto"/>
        <w:jc w:val="both"/>
        <w:rPr>
          <w:rFonts w:ascii="Arial" w:hAnsi="Arial" w:cs="Arial"/>
          <w:sz w:val="24"/>
          <w:szCs w:val="24"/>
        </w:rPr>
      </w:pPr>
      <w:r w:rsidRPr="00BF4538">
        <w:rPr>
          <w:rFonts w:ascii="Arial" w:hAnsi="Arial" w:cs="Arial"/>
          <w:b/>
          <w:sz w:val="24"/>
          <w:szCs w:val="24"/>
        </w:rPr>
        <w:t>Institución:</w:t>
      </w:r>
      <w:r w:rsidRPr="00BF4538">
        <w:rPr>
          <w:rFonts w:ascii="Arial" w:hAnsi="Arial" w:cs="Arial"/>
          <w:sz w:val="24"/>
          <w:szCs w:val="24"/>
        </w:rPr>
        <w:t xml:space="preserve"> Policlínico Docente Municipal Miguel Montesino Rodríguez.</w:t>
      </w:r>
    </w:p>
    <w:p w:rsidR="00B64A86" w:rsidRPr="00BF4538" w:rsidRDefault="00B64A86" w:rsidP="00BF4538">
      <w:pPr>
        <w:spacing w:line="360" w:lineRule="auto"/>
        <w:jc w:val="both"/>
        <w:rPr>
          <w:rFonts w:ascii="Arial" w:hAnsi="Arial" w:cs="Arial"/>
          <w:sz w:val="24"/>
          <w:szCs w:val="24"/>
        </w:rPr>
      </w:pPr>
      <w:r w:rsidRPr="00BF4538">
        <w:rPr>
          <w:rFonts w:ascii="Arial" w:hAnsi="Arial" w:cs="Arial"/>
          <w:b/>
          <w:sz w:val="24"/>
          <w:szCs w:val="24"/>
        </w:rPr>
        <w:t>País:</w:t>
      </w:r>
      <w:r w:rsidRPr="00BF4538">
        <w:rPr>
          <w:rFonts w:ascii="Arial" w:hAnsi="Arial" w:cs="Arial"/>
          <w:sz w:val="24"/>
          <w:szCs w:val="24"/>
        </w:rPr>
        <w:t xml:space="preserve"> Cuba.</w:t>
      </w:r>
    </w:p>
    <w:p w:rsidR="00B64A86" w:rsidRPr="00BF4538" w:rsidRDefault="00B64A86" w:rsidP="00684E36">
      <w:pPr>
        <w:tabs>
          <w:tab w:val="left" w:pos="1418"/>
        </w:tabs>
        <w:spacing w:line="360" w:lineRule="auto"/>
        <w:jc w:val="both"/>
        <w:rPr>
          <w:rFonts w:ascii="Arial" w:hAnsi="Arial" w:cs="Arial"/>
          <w:sz w:val="24"/>
          <w:szCs w:val="24"/>
        </w:rPr>
      </w:pPr>
      <w:r w:rsidRPr="00BF4538">
        <w:rPr>
          <w:rFonts w:ascii="Arial" w:hAnsi="Arial" w:cs="Arial"/>
          <w:b/>
          <w:sz w:val="24"/>
          <w:szCs w:val="24"/>
        </w:rPr>
        <w:t>Email:</w:t>
      </w:r>
      <w:r w:rsidRPr="00BF4538">
        <w:rPr>
          <w:rFonts w:ascii="Arial" w:hAnsi="Arial" w:cs="Arial"/>
          <w:sz w:val="24"/>
          <w:szCs w:val="24"/>
        </w:rPr>
        <w:t xml:space="preserve"> </w:t>
      </w:r>
      <w:hyperlink r:id="rId7" w:history="1">
        <w:r w:rsidRPr="00BF4538">
          <w:rPr>
            <w:rStyle w:val="Hipervnculo"/>
            <w:rFonts w:ascii="Arial" w:hAnsi="Arial" w:cs="Arial"/>
            <w:sz w:val="24"/>
            <w:szCs w:val="24"/>
          </w:rPr>
          <w:t>jimalex@nauta.cu</w:t>
        </w:r>
      </w:hyperlink>
    </w:p>
    <w:p w:rsidR="00F00BAE" w:rsidRPr="00BF4538" w:rsidRDefault="00F00BAE" w:rsidP="00BF4538">
      <w:pPr>
        <w:spacing w:after="0" w:line="360" w:lineRule="auto"/>
        <w:jc w:val="both"/>
        <w:rPr>
          <w:rFonts w:ascii="Arial" w:eastAsia="Times New Roman" w:hAnsi="Arial" w:cs="Arial"/>
          <w:b/>
          <w:sz w:val="24"/>
          <w:szCs w:val="24"/>
          <w:lang w:val="es-ES_tradnl"/>
        </w:rPr>
      </w:pPr>
      <w:r w:rsidRPr="00BF4538">
        <w:rPr>
          <w:rFonts w:ascii="Arial" w:eastAsia="Times New Roman" w:hAnsi="Arial" w:cs="Arial"/>
          <w:b/>
          <w:sz w:val="24"/>
          <w:szCs w:val="24"/>
          <w:lang w:val="es-ES_tradnl"/>
        </w:rPr>
        <w:t>RESUMEN</w:t>
      </w:r>
    </w:p>
    <w:p w:rsidR="00F00BAE" w:rsidRPr="00BF4538" w:rsidRDefault="00F00BAE" w:rsidP="00BF4538">
      <w:pPr>
        <w:spacing w:after="0" w:line="360" w:lineRule="auto"/>
        <w:jc w:val="both"/>
        <w:rPr>
          <w:rFonts w:ascii="Arial" w:eastAsia="Times New Roman" w:hAnsi="Arial" w:cs="Arial"/>
          <w:sz w:val="24"/>
          <w:szCs w:val="24"/>
          <w:lang w:val="es-ES_tradnl"/>
        </w:rPr>
      </w:pPr>
    </w:p>
    <w:p w:rsidR="00F00BAE" w:rsidRPr="00BF4538" w:rsidRDefault="00F00BAE" w:rsidP="00BF4538">
      <w:pPr>
        <w:spacing w:after="0" w:line="360" w:lineRule="auto"/>
        <w:jc w:val="both"/>
        <w:rPr>
          <w:rFonts w:ascii="Arial" w:eastAsia="Times New Roman" w:hAnsi="Arial" w:cs="Arial"/>
          <w:sz w:val="24"/>
          <w:szCs w:val="24"/>
          <w:lang w:eastAsia="es-ES"/>
        </w:rPr>
      </w:pPr>
      <w:r w:rsidRPr="00BF4538">
        <w:rPr>
          <w:rFonts w:ascii="Arial" w:eastAsia="Times New Roman" w:hAnsi="Arial" w:cs="Arial"/>
          <w:sz w:val="24"/>
          <w:szCs w:val="24"/>
          <w:lang w:val="es-ES_tradnl"/>
        </w:rPr>
        <w:t xml:space="preserve">La Diabetes Mellitus es una enfermedad crónica común </w:t>
      </w:r>
      <w:r w:rsidRPr="00BF4538">
        <w:rPr>
          <w:rFonts w:ascii="Arial" w:eastAsia="Times New Roman" w:hAnsi="Arial" w:cs="Arial"/>
          <w:sz w:val="24"/>
          <w:szCs w:val="24"/>
          <w:lang w:val="es-US"/>
        </w:rPr>
        <w:t xml:space="preserve">que ha ido en aumento a nivel mundial y en Cuba. </w:t>
      </w:r>
      <w:r w:rsidRPr="00BF4538">
        <w:rPr>
          <w:rFonts w:ascii="Arial" w:eastAsia="Times New Roman" w:hAnsi="Arial" w:cs="Arial"/>
          <w:sz w:val="24"/>
          <w:szCs w:val="24"/>
          <w:lang w:val="es-ES_tradnl"/>
        </w:rPr>
        <w:t xml:space="preserve">El </w:t>
      </w:r>
      <w:r w:rsidRPr="00BF4538">
        <w:rPr>
          <w:rFonts w:ascii="Arial" w:eastAsia="Times New Roman" w:hAnsi="Arial" w:cs="Arial"/>
          <w:sz w:val="24"/>
          <w:szCs w:val="24"/>
          <w:lang w:val="es-US"/>
        </w:rPr>
        <w:t>pie diabético es una lesión característica de esta enfermedad que de no tratarse adecuadamente conduce en la mayoría de los casos a la amputación del miembro afectado.</w:t>
      </w:r>
      <w:r w:rsidRPr="00BF4538">
        <w:rPr>
          <w:rFonts w:ascii="Arial" w:eastAsia="Times New Roman" w:hAnsi="Arial" w:cs="Arial"/>
          <w:sz w:val="24"/>
          <w:szCs w:val="24"/>
          <w:lang w:val="es-ES" w:eastAsia="es-ES"/>
        </w:rPr>
        <w:t xml:space="preserve"> La aplicación</w:t>
      </w:r>
      <w:r w:rsidRPr="00BF4538">
        <w:rPr>
          <w:rFonts w:ascii="Arial" w:eastAsia="Times New Roman" w:hAnsi="Arial" w:cs="Arial"/>
          <w:sz w:val="24"/>
          <w:szCs w:val="24"/>
          <w:lang w:val="es-ES_tradnl"/>
        </w:rPr>
        <w:t xml:space="preserve"> del Heberprot-P ha incidido favorablemente en la cura de esta lesión y en la calidad de vida de estos pacientes .En el municipio de Fomento se ha venido aplicando este fármaco desde 2007 pero no se ha realizado ningún estudio sobre la evolución clínica y calidad de vida de dichos pacientes, por lo que se declara como objetivo de la investigación: Describir la evolución clínica y calidad de vida de los pacientes tratados con Heberprot-P en el Policlínico Miguel Montesino, municipio Fomento en el período 2018-2020.Se realizó un estudio de tipo observacional, descriptivo y retrospectivo. Fue aplicado a una muestra de 92 pacientes.</w:t>
      </w:r>
      <w:r w:rsidRPr="00BF4538">
        <w:rPr>
          <w:rFonts w:ascii="Arial" w:hAnsi="Arial" w:cs="Arial"/>
          <w:sz w:val="24"/>
          <w:szCs w:val="24"/>
        </w:rPr>
        <w:t xml:space="preserve"> Se estudiaron variables sociodemográficas, clínicas y relacionadas con la calidad de vida. Para la recopilación de la información se utilizó una guía de revisión documental y el cuestionario SF-36.</w:t>
      </w:r>
      <w:r w:rsidRPr="00BF4538">
        <w:rPr>
          <w:rFonts w:ascii="Arial" w:eastAsia="Times New Roman" w:hAnsi="Arial" w:cs="Arial"/>
          <w:sz w:val="24"/>
          <w:szCs w:val="24"/>
          <w:lang w:val="es-ES_tradnl"/>
        </w:rPr>
        <w:t>S</w:t>
      </w:r>
      <w:r w:rsidRPr="00BF4538">
        <w:rPr>
          <w:rFonts w:ascii="Arial" w:eastAsia="Times New Roman" w:hAnsi="Arial" w:cs="Arial"/>
          <w:sz w:val="24"/>
          <w:szCs w:val="24"/>
          <w:lang w:val="es-ES" w:eastAsia="es-ES"/>
        </w:rPr>
        <w:t xml:space="preserve">e utilizaron métodos </w:t>
      </w:r>
      <w:r w:rsidRPr="00BF4538">
        <w:rPr>
          <w:rFonts w:ascii="Arial" w:hAnsi="Arial" w:cs="Arial"/>
          <w:sz w:val="24"/>
          <w:szCs w:val="24"/>
        </w:rPr>
        <w:t>del nivel teórico, empírico-experimental y matemático-estadístico.</w:t>
      </w:r>
      <w:r w:rsidRPr="00BF4538">
        <w:rPr>
          <w:rFonts w:ascii="Arial" w:eastAsia="Times New Roman" w:hAnsi="Arial" w:cs="Arial"/>
          <w:sz w:val="24"/>
          <w:szCs w:val="24"/>
          <w:lang w:eastAsia="es-ES"/>
        </w:rPr>
        <w:t xml:space="preserve"> El estudio demostró una evolución clínica favorable y un mejoramiento de la calidad de vida de estos pacientes, lo cual se evidencia en el aumento de la curación de la ulcera del pie diabético y en la disminución de la cantidad de amputaciones, recidivas y fallecimientos por esta causa.</w:t>
      </w:r>
    </w:p>
    <w:p w:rsidR="00F60412" w:rsidRDefault="00F60412" w:rsidP="00BF4538">
      <w:pPr>
        <w:spacing w:after="0" w:line="360" w:lineRule="auto"/>
        <w:jc w:val="both"/>
        <w:rPr>
          <w:rFonts w:ascii="Arial" w:eastAsia="Times New Roman" w:hAnsi="Arial" w:cs="Arial"/>
          <w:sz w:val="24"/>
          <w:szCs w:val="24"/>
          <w:lang w:eastAsia="es-ES"/>
        </w:rPr>
      </w:pPr>
    </w:p>
    <w:p w:rsidR="00A640C5" w:rsidRPr="00BF4538" w:rsidRDefault="00A640C5" w:rsidP="00BF4538">
      <w:pPr>
        <w:spacing w:after="0" w:line="360" w:lineRule="auto"/>
        <w:jc w:val="both"/>
        <w:rPr>
          <w:rFonts w:ascii="Arial" w:eastAsia="Times New Roman" w:hAnsi="Arial" w:cs="Arial"/>
          <w:sz w:val="24"/>
          <w:szCs w:val="24"/>
          <w:lang w:eastAsia="es-ES"/>
        </w:rPr>
      </w:pPr>
    </w:p>
    <w:p w:rsidR="00F60412" w:rsidRPr="00A640C5" w:rsidRDefault="00F60412" w:rsidP="00BF4538">
      <w:pPr>
        <w:spacing w:after="0" w:line="360" w:lineRule="auto"/>
        <w:jc w:val="both"/>
        <w:rPr>
          <w:rStyle w:val="rynqvb"/>
          <w:rFonts w:ascii="Arial" w:hAnsi="Arial" w:cs="Arial"/>
          <w:b/>
          <w:sz w:val="24"/>
          <w:szCs w:val="24"/>
          <w:lang w:val="en"/>
        </w:rPr>
      </w:pPr>
      <w:r w:rsidRPr="00A640C5">
        <w:rPr>
          <w:rStyle w:val="rynqvb"/>
          <w:rFonts w:ascii="Arial" w:hAnsi="Arial" w:cs="Arial"/>
          <w:b/>
          <w:sz w:val="24"/>
          <w:szCs w:val="24"/>
          <w:lang w:val="en"/>
        </w:rPr>
        <w:lastRenderedPageBreak/>
        <w:t>SUMMARY</w:t>
      </w:r>
    </w:p>
    <w:p w:rsidR="00F60412" w:rsidRPr="00BF4538" w:rsidRDefault="00F60412" w:rsidP="00BF4538">
      <w:pPr>
        <w:spacing w:after="0" w:line="360" w:lineRule="auto"/>
        <w:jc w:val="both"/>
        <w:rPr>
          <w:rStyle w:val="rynqvb"/>
          <w:rFonts w:ascii="Arial" w:hAnsi="Arial" w:cs="Arial"/>
          <w:sz w:val="24"/>
          <w:szCs w:val="24"/>
          <w:lang w:val="en"/>
        </w:rPr>
      </w:pPr>
      <w:r w:rsidRPr="00BF4538">
        <w:rPr>
          <w:rStyle w:val="rynqvb"/>
          <w:rFonts w:ascii="Arial" w:hAnsi="Arial" w:cs="Arial"/>
          <w:sz w:val="24"/>
          <w:szCs w:val="24"/>
          <w:lang w:val="en"/>
        </w:rPr>
        <w:t xml:space="preserve">Diabetes Mellitus is a common chronic disease </w:t>
      </w:r>
      <w:r w:rsidR="009D5E4F">
        <w:rPr>
          <w:rStyle w:val="rynqvb"/>
          <w:rFonts w:ascii="Arial" w:hAnsi="Arial" w:cs="Arial"/>
          <w:sz w:val="24"/>
          <w:szCs w:val="24"/>
          <w:lang w:val="en"/>
        </w:rPr>
        <w:t xml:space="preserve">,it </w:t>
      </w:r>
      <w:r w:rsidRPr="00BF4538">
        <w:rPr>
          <w:rStyle w:val="rynqvb"/>
          <w:rFonts w:ascii="Arial" w:hAnsi="Arial" w:cs="Arial"/>
          <w:sz w:val="24"/>
          <w:szCs w:val="24"/>
          <w:lang w:val="en"/>
        </w:rPr>
        <w:t>has been increasing worldwide and in Cuba.</w:t>
      </w:r>
      <w:r w:rsidRPr="00BF4538">
        <w:rPr>
          <w:rStyle w:val="hwtze"/>
          <w:rFonts w:ascii="Arial" w:hAnsi="Arial" w:cs="Arial"/>
          <w:sz w:val="24"/>
          <w:szCs w:val="24"/>
          <w:lang w:val="en"/>
        </w:rPr>
        <w:t xml:space="preserve"> </w:t>
      </w:r>
      <w:r w:rsidRPr="00BF4538">
        <w:rPr>
          <w:rStyle w:val="rynqvb"/>
          <w:rFonts w:ascii="Arial" w:hAnsi="Arial" w:cs="Arial"/>
          <w:sz w:val="24"/>
          <w:szCs w:val="24"/>
          <w:lang w:val="en"/>
        </w:rPr>
        <w:t>The diabetic foot is a character</w:t>
      </w:r>
      <w:r w:rsidR="00000F71">
        <w:rPr>
          <w:rStyle w:val="rynqvb"/>
          <w:rFonts w:ascii="Arial" w:hAnsi="Arial" w:cs="Arial"/>
          <w:sz w:val="24"/>
          <w:szCs w:val="24"/>
          <w:lang w:val="en"/>
        </w:rPr>
        <w:t xml:space="preserve">istic lesion of this disease </w:t>
      </w:r>
      <w:r w:rsidRPr="00BF4538">
        <w:rPr>
          <w:rStyle w:val="rynqvb"/>
          <w:rFonts w:ascii="Arial" w:hAnsi="Arial" w:cs="Arial"/>
          <w:sz w:val="24"/>
          <w:szCs w:val="24"/>
          <w:lang w:val="en"/>
        </w:rPr>
        <w:t>, if not adequately treated, leads in most cases to amputation of the affected limb.</w:t>
      </w:r>
      <w:r w:rsidRPr="00BF4538">
        <w:rPr>
          <w:rStyle w:val="hwtze"/>
          <w:rFonts w:ascii="Arial" w:hAnsi="Arial" w:cs="Arial"/>
          <w:sz w:val="24"/>
          <w:szCs w:val="24"/>
          <w:lang w:val="en"/>
        </w:rPr>
        <w:t xml:space="preserve"> </w:t>
      </w:r>
      <w:r w:rsidRPr="00BF4538">
        <w:rPr>
          <w:rStyle w:val="rynqvb"/>
          <w:rFonts w:ascii="Arial" w:hAnsi="Arial" w:cs="Arial"/>
          <w:sz w:val="24"/>
          <w:szCs w:val="24"/>
          <w:lang w:val="en"/>
        </w:rPr>
        <w:t>The application of Heberprot-P has favorably affected the cure of this lesion and the quality of life of these patients. In the municipality of Fomento, this drug has been applied since 2007 but no study has been carried out on the clinical evolution and</w:t>
      </w:r>
      <w:r w:rsidRPr="00BF4538">
        <w:rPr>
          <w:rStyle w:val="hwtze"/>
          <w:rFonts w:ascii="Arial" w:hAnsi="Arial" w:cs="Arial"/>
          <w:sz w:val="24"/>
          <w:szCs w:val="24"/>
          <w:lang w:val="en"/>
        </w:rPr>
        <w:t xml:space="preserve"> </w:t>
      </w:r>
      <w:r w:rsidRPr="00BF4538">
        <w:rPr>
          <w:rStyle w:val="rynqvb"/>
          <w:rFonts w:ascii="Arial" w:hAnsi="Arial" w:cs="Arial"/>
          <w:sz w:val="24"/>
          <w:szCs w:val="24"/>
          <w:lang w:val="en"/>
        </w:rPr>
        <w:t>quality of life of these patients, for which the objective of the research is declared: To describe the clinical evolution and quality of life of patients treated with Heberprot-P at the Miguel Montesino Polyclinic, Fomento municipality in the period 2018-2020.</w:t>
      </w:r>
      <w:r w:rsidRPr="00BF4538">
        <w:rPr>
          <w:rStyle w:val="hwtze"/>
          <w:rFonts w:ascii="Arial" w:hAnsi="Arial" w:cs="Arial"/>
          <w:sz w:val="24"/>
          <w:szCs w:val="24"/>
          <w:lang w:val="en"/>
        </w:rPr>
        <w:t xml:space="preserve"> </w:t>
      </w:r>
      <w:r w:rsidR="002D4836">
        <w:rPr>
          <w:rStyle w:val="rynqvb"/>
          <w:rFonts w:ascii="Arial" w:hAnsi="Arial" w:cs="Arial"/>
          <w:sz w:val="24"/>
          <w:szCs w:val="24"/>
          <w:lang w:val="en"/>
        </w:rPr>
        <w:t>Has been made</w:t>
      </w:r>
      <w:r w:rsidRPr="00BF4538">
        <w:rPr>
          <w:rStyle w:val="rynqvb"/>
          <w:rFonts w:ascii="Arial" w:hAnsi="Arial" w:cs="Arial"/>
          <w:sz w:val="24"/>
          <w:szCs w:val="24"/>
          <w:lang w:val="en"/>
        </w:rPr>
        <w:t xml:space="preserve"> an observational, descriptive and retrospective study.</w:t>
      </w:r>
      <w:r w:rsidRPr="00BF4538">
        <w:rPr>
          <w:rStyle w:val="hwtze"/>
          <w:rFonts w:ascii="Arial" w:hAnsi="Arial" w:cs="Arial"/>
          <w:sz w:val="24"/>
          <w:szCs w:val="24"/>
          <w:lang w:val="en"/>
        </w:rPr>
        <w:t xml:space="preserve"> </w:t>
      </w:r>
      <w:r w:rsidRPr="00BF4538">
        <w:rPr>
          <w:rStyle w:val="rynqvb"/>
          <w:rFonts w:ascii="Arial" w:hAnsi="Arial" w:cs="Arial"/>
          <w:sz w:val="24"/>
          <w:szCs w:val="24"/>
          <w:lang w:val="en"/>
        </w:rPr>
        <w:t>It was applied to a sample of 92 patients.</w:t>
      </w:r>
      <w:r w:rsidRPr="00BF4538">
        <w:rPr>
          <w:rStyle w:val="hwtze"/>
          <w:rFonts w:ascii="Arial" w:hAnsi="Arial" w:cs="Arial"/>
          <w:sz w:val="24"/>
          <w:szCs w:val="24"/>
          <w:lang w:val="en"/>
        </w:rPr>
        <w:t xml:space="preserve"> </w:t>
      </w:r>
      <w:r w:rsidRPr="00BF4538">
        <w:rPr>
          <w:rStyle w:val="rynqvb"/>
          <w:rFonts w:ascii="Arial" w:hAnsi="Arial" w:cs="Arial"/>
          <w:sz w:val="24"/>
          <w:szCs w:val="24"/>
          <w:lang w:val="en"/>
        </w:rPr>
        <w:t>Sociodemographic, clinical and quality-of-life variables were studied.</w:t>
      </w:r>
      <w:r w:rsidRPr="00BF4538">
        <w:rPr>
          <w:rStyle w:val="hwtze"/>
          <w:rFonts w:ascii="Arial" w:hAnsi="Arial" w:cs="Arial"/>
          <w:sz w:val="24"/>
          <w:szCs w:val="24"/>
          <w:lang w:val="en"/>
        </w:rPr>
        <w:t xml:space="preserve"> </w:t>
      </w:r>
      <w:r w:rsidRPr="00BF4538">
        <w:rPr>
          <w:rStyle w:val="rynqvb"/>
          <w:rFonts w:ascii="Arial" w:hAnsi="Arial" w:cs="Arial"/>
          <w:sz w:val="24"/>
          <w:szCs w:val="24"/>
          <w:lang w:val="en"/>
        </w:rPr>
        <w:t>For the collection of information, a documentary review guide and the SF-36 questionnaire were used. Methods of the theoretical, empirical-experimental and mathematical-statistical level were used.</w:t>
      </w:r>
      <w:r w:rsidRPr="00BF4538">
        <w:rPr>
          <w:rStyle w:val="hwtze"/>
          <w:rFonts w:ascii="Arial" w:hAnsi="Arial" w:cs="Arial"/>
          <w:sz w:val="24"/>
          <w:szCs w:val="24"/>
          <w:lang w:val="en"/>
        </w:rPr>
        <w:t xml:space="preserve"> </w:t>
      </w:r>
      <w:r w:rsidRPr="00BF4538">
        <w:rPr>
          <w:rStyle w:val="rynqvb"/>
          <w:rFonts w:ascii="Arial" w:hAnsi="Arial" w:cs="Arial"/>
          <w:sz w:val="24"/>
          <w:szCs w:val="24"/>
          <w:lang w:val="en"/>
        </w:rPr>
        <w:t>The study demonstrated a favorable clinical evolution and an improvement in the quality of life of these patients, which is evidenced by increased healing of diabetic foot ulcers and a decrease in the number of amputations, recurrences, and deaths from this condition.</w:t>
      </w:r>
      <w:r w:rsidRPr="00BF4538">
        <w:rPr>
          <w:rStyle w:val="hwtze"/>
          <w:rFonts w:ascii="Arial" w:hAnsi="Arial" w:cs="Arial"/>
          <w:sz w:val="24"/>
          <w:szCs w:val="24"/>
          <w:lang w:val="en"/>
        </w:rPr>
        <w:t xml:space="preserve"> </w:t>
      </w:r>
      <w:r w:rsidRPr="00BF4538">
        <w:rPr>
          <w:rStyle w:val="rynqvb"/>
          <w:rFonts w:ascii="Arial" w:hAnsi="Arial" w:cs="Arial"/>
          <w:sz w:val="24"/>
          <w:szCs w:val="24"/>
          <w:lang w:val="en"/>
        </w:rPr>
        <w:t>cause.</w:t>
      </w:r>
    </w:p>
    <w:p w:rsidR="00C72A46" w:rsidRPr="00BF4538" w:rsidRDefault="00C72A46" w:rsidP="00BF4538">
      <w:pPr>
        <w:spacing w:after="0" w:line="360" w:lineRule="auto"/>
        <w:jc w:val="both"/>
        <w:rPr>
          <w:rStyle w:val="rynqvb"/>
          <w:rFonts w:ascii="Arial" w:hAnsi="Arial" w:cs="Arial"/>
          <w:sz w:val="24"/>
          <w:szCs w:val="24"/>
          <w:lang w:val="en"/>
        </w:rPr>
      </w:pPr>
    </w:p>
    <w:p w:rsidR="00C72A46" w:rsidRPr="00BF4538" w:rsidRDefault="00C72A46" w:rsidP="00BF4538">
      <w:pPr>
        <w:spacing w:after="0" w:line="360" w:lineRule="auto"/>
        <w:jc w:val="both"/>
        <w:rPr>
          <w:rFonts w:ascii="Arial" w:eastAsia="Times New Roman" w:hAnsi="Arial" w:cs="Arial"/>
          <w:sz w:val="24"/>
          <w:szCs w:val="24"/>
          <w:lang w:val="es-ES_tradnl"/>
        </w:rPr>
      </w:pPr>
      <w:r w:rsidRPr="00A640C5">
        <w:rPr>
          <w:rStyle w:val="rynqvb"/>
          <w:rFonts w:ascii="Arial" w:hAnsi="Arial" w:cs="Arial"/>
          <w:b/>
          <w:sz w:val="24"/>
          <w:szCs w:val="24"/>
          <w:lang w:val="en"/>
        </w:rPr>
        <w:t>Modalidad de presentación</w:t>
      </w:r>
      <w:r w:rsidRPr="00BF4538">
        <w:rPr>
          <w:rStyle w:val="rynqvb"/>
          <w:rFonts w:ascii="Arial" w:hAnsi="Arial" w:cs="Arial"/>
          <w:sz w:val="24"/>
          <w:szCs w:val="24"/>
          <w:lang w:val="en"/>
        </w:rPr>
        <w:t xml:space="preserve"> : Tema libre.</w:t>
      </w:r>
    </w:p>
    <w:p w:rsidR="00B64A86" w:rsidRPr="00BF4538" w:rsidRDefault="00B64A86" w:rsidP="00BF4538">
      <w:pPr>
        <w:spacing w:line="360" w:lineRule="auto"/>
        <w:jc w:val="both"/>
        <w:rPr>
          <w:rFonts w:ascii="Arial" w:hAnsi="Arial" w:cs="Arial"/>
          <w:sz w:val="24"/>
          <w:szCs w:val="24"/>
        </w:rPr>
      </w:pPr>
    </w:p>
    <w:p w:rsidR="00F31471" w:rsidRPr="00BF4538" w:rsidRDefault="00F31471" w:rsidP="00BF4538">
      <w:pPr>
        <w:spacing w:line="360" w:lineRule="auto"/>
        <w:jc w:val="both"/>
        <w:rPr>
          <w:rFonts w:ascii="Arial" w:hAnsi="Arial" w:cs="Arial"/>
          <w:sz w:val="24"/>
          <w:szCs w:val="24"/>
        </w:rPr>
      </w:pPr>
    </w:p>
    <w:p w:rsidR="00F31471" w:rsidRPr="00BF4538" w:rsidRDefault="00F31471" w:rsidP="00BF4538">
      <w:pPr>
        <w:spacing w:line="360" w:lineRule="auto"/>
        <w:jc w:val="both"/>
        <w:rPr>
          <w:rFonts w:ascii="Arial" w:hAnsi="Arial" w:cs="Arial"/>
          <w:sz w:val="24"/>
          <w:szCs w:val="24"/>
        </w:rPr>
      </w:pPr>
    </w:p>
    <w:p w:rsidR="00F31471" w:rsidRPr="00BF4538" w:rsidRDefault="00F31471" w:rsidP="00BF4538">
      <w:pPr>
        <w:spacing w:line="360" w:lineRule="auto"/>
        <w:jc w:val="both"/>
        <w:rPr>
          <w:rFonts w:ascii="Arial" w:hAnsi="Arial" w:cs="Arial"/>
          <w:sz w:val="24"/>
          <w:szCs w:val="24"/>
        </w:rPr>
      </w:pPr>
    </w:p>
    <w:p w:rsidR="00F31471" w:rsidRPr="00BF4538" w:rsidRDefault="00F31471" w:rsidP="00BF4538">
      <w:pPr>
        <w:spacing w:line="360" w:lineRule="auto"/>
        <w:jc w:val="both"/>
        <w:rPr>
          <w:rFonts w:ascii="Arial" w:hAnsi="Arial" w:cs="Arial"/>
          <w:sz w:val="24"/>
          <w:szCs w:val="24"/>
        </w:rPr>
      </w:pPr>
    </w:p>
    <w:p w:rsidR="00F31471" w:rsidRDefault="00F31471" w:rsidP="00BF4538">
      <w:pPr>
        <w:spacing w:line="360" w:lineRule="auto"/>
        <w:jc w:val="both"/>
        <w:rPr>
          <w:rFonts w:ascii="Arial" w:hAnsi="Arial" w:cs="Arial"/>
          <w:sz w:val="24"/>
          <w:szCs w:val="24"/>
        </w:rPr>
      </w:pPr>
    </w:p>
    <w:p w:rsidR="00A640C5" w:rsidRPr="00BF4538" w:rsidRDefault="00A640C5" w:rsidP="00BF4538">
      <w:pPr>
        <w:spacing w:line="360" w:lineRule="auto"/>
        <w:jc w:val="both"/>
        <w:rPr>
          <w:rFonts w:ascii="Arial" w:hAnsi="Arial" w:cs="Arial"/>
          <w:sz w:val="24"/>
          <w:szCs w:val="24"/>
        </w:rPr>
      </w:pPr>
    </w:p>
    <w:p w:rsidR="00F31471" w:rsidRPr="00A640C5" w:rsidRDefault="00F31471" w:rsidP="00A640C5">
      <w:pPr>
        <w:pStyle w:val="Sinespaciado"/>
        <w:tabs>
          <w:tab w:val="left" w:pos="4937"/>
        </w:tabs>
        <w:spacing w:line="360" w:lineRule="auto"/>
        <w:ind w:left="-308"/>
        <w:jc w:val="center"/>
        <w:rPr>
          <w:rFonts w:ascii="Arial" w:hAnsi="Arial" w:cs="Arial"/>
          <w:caps/>
          <w:color w:val="191919"/>
          <w:sz w:val="28"/>
          <w:szCs w:val="24"/>
        </w:rPr>
      </w:pPr>
      <w:r w:rsidRPr="00A640C5">
        <w:rPr>
          <w:rFonts w:ascii="Arial" w:eastAsia="Calibri" w:hAnsi="Arial" w:cs="Arial"/>
          <w:b/>
          <w:sz w:val="28"/>
          <w:szCs w:val="24"/>
          <w:lang w:eastAsia="zh-CN"/>
        </w:rPr>
        <w:lastRenderedPageBreak/>
        <w:t>Evolución clínica y calidad de vida de los pacientes tratados con Heberprot-P en Fomento.</w:t>
      </w:r>
    </w:p>
    <w:p w:rsidR="00F31471" w:rsidRPr="00BF4538" w:rsidRDefault="00F31471" w:rsidP="00BF4538">
      <w:pPr>
        <w:spacing w:line="360" w:lineRule="auto"/>
        <w:jc w:val="both"/>
        <w:rPr>
          <w:rFonts w:ascii="Arial" w:eastAsia="Calibri" w:hAnsi="Arial" w:cs="Arial"/>
          <w:sz w:val="24"/>
          <w:szCs w:val="24"/>
          <w:lang w:val="pt-BR" w:eastAsia="es-ES_tradnl"/>
        </w:rPr>
      </w:pPr>
      <w:r w:rsidRPr="00BF4538">
        <w:rPr>
          <w:rFonts w:ascii="Arial" w:eastAsia="Calibri" w:hAnsi="Arial" w:cs="Arial"/>
          <w:b/>
          <w:sz w:val="24"/>
          <w:szCs w:val="24"/>
          <w:lang w:eastAsia="zh-CN"/>
        </w:rPr>
        <w:t>Autor:</w:t>
      </w:r>
      <w:r w:rsidRPr="00BF4538">
        <w:rPr>
          <w:rFonts w:ascii="Arial" w:eastAsia="Calibri" w:hAnsi="Arial" w:cs="Arial"/>
          <w:sz w:val="24"/>
          <w:szCs w:val="24"/>
          <w:lang w:val="pt-BR" w:eastAsia="es-ES_tradnl"/>
        </w:rPr>
        <w:t xml:space="preserve"> Dr. Jim Alex González Consuegra. Especialista en Medicina General Integral.Profesor instructor.</w:t>
      </w:r>
    </w:p>
    <w:p w:rsidR="00F31471" w:rsidRPr="00BF4538" w:rsidRDefault="00F31471" w:rsidP="00BF4538">
      <w:pPr>
        <w:spacing w:line="360" w:lineRule="auto"/>
        <w:jc w:val="both"/>
        <w:rPr>
          <w:rFonts w:ascii="Arial" w:hAnsi="Arial" w:cs="Arial"/>
          <w:sz w:val="24"/>
          <w:szCs w:val="24"/>
        </w:rPr>
      </w:pPr>
      <w:r w:rsidRPr="00BF4538">
        <w:rPr>
          <w:rFonts w:ascii="Arial" w:hAnsi="Arial" w:cs="Arial"/>
          <w:b/>
          <w:sz w:val="24"/>
          <w:szCs w:val="24"/>
        </w:rPr>
        <w:t>Institución:</w:t>
      </w:r>
      <w:r w:rsidRPr="00BF4538">
        <w:rPr>
          <w:rFonts w:ascii="Arial" w:hAnsi="Arial" w:cs="Arial"/>
          <w:sz w:val="24"/>
          <w:szCs w:val="24"/>
        </w:rPr>
        <w:t xml:space="preserve"> Policlínico Docente Municipal Miguel Montesino Rodríguez.</w:t>
      </w:r>
    </w:p>
    <w:p w:rsidR="00F31471" w:rsidRPr="00BF4538" w:rsidRDefault="00F31471" w:rsidP="00BF4538">
      <w:pPr>
        <w:spacing w:line="360" w:lineRule="auto"/>
        <w:jc w:val="both"/>
        <w:rPr>
          <w:rFonts w:ascii="Arial" w:hAnsi="Arial" w:cs="Arial"/>
          <w:sz w:val="24"/>
          <w:szCs w:val="24"/>
        </w:rPr>
      </w:pPr>
      <w:r w:rsidRPr="00BF4538">
        <w:rPr>
          <w:rFonts w:ascii="Arial" w:hAnsi="Arial" w:cs="Arial"/>
          <w:b/>
          <w:sz w:val="24"/>
          <w:szCs w:val="24"/>
        </w:rPr>
        <w:t>País:</w:t>
      </w:r>
      <w:r w:rsidRPr="00BF4538">
        <w:rPr>
          <w:rFonts w:ascii="Arial" w:hAnsi="Arial" w:cs="Arial"/>
          <w:sz w:val="24"/>
          <w:szCs w:val="24"/>
        </w:rPr>
        <w:t xml:space="preserve"> Cuba.</w:t>
      </w:r>
    </w:p>
    <w:p w:rsidR="00F31471" w:rsidRPr="00BF4538" w:rsidRDefault="00F31471" w:rsidP="00BF4538">
      <w:pPr>
        <w:spacing w:line="360" w:lineRule="auto"/>
        <w:jc w:val="both"/>
        <w:rPr>
          <w:rFonts w:ascii="Arial" w:hAnsi="Arial" w:cs="Arial"/>
          <w:sz w:val="24"/>
          <w:szCs w:val="24"/>
        </w:rPr>
      </w:pPr>
      <w:r w:rsidRPr="00BF4538">
        <w:rPr>
          <w:rFonts w:ascii="Arial" w:hAnsi="Arial" w:cs="Arial"/>
          <w:b/>
          <w:sz w:val="24"/>
          <w:szCs w:val="24"/>
        </w:rPr>
        <w:t>Email:</w:t>
      </w:r>
      <w:r w:rsidRPr="00BF4538">
        <w:rPr>
          <w:rFonts w:ascii="Arial" w:hAnsi="Arial" w:cs="Arial"/>
          <w:sz w:val="24"/>
          <w:szCs w:val="24"/>
        </w:rPr>
        <w:t xml:space="preserve"> </w:t>
      </w:r>
      <w:hyperlink r:id="rId8" w:history="1">
        <w:r w:rsidRPr="00BF4538">
          <w:rPr>
            <w:rStyle w:val="Hipervnculo"/>
            <w:rFonts w:ascii="Arial" w:hAnsi="Arial" w:cs="Arial"/>
            <w:sz w:val="24"/>
            <w:szCs w:val="24"/>
          </w:rPr>
          <w:t>jimalex@nauta.cu</w:t>
        </w:r>
      </w:hyperlink>
    </w:p>
    <w:p w:rsidR="00F31471" w:rsidRPr="00BF4538" w:rsidRDefault="00F31471" w:rsidP="00BF4538">
      <w:pPr>
        <w:spacing w:after="0" w:line="360" w:lineRule="auto"/>
        <w:jc w:val="both"/>
        <w:rPr>
          <w:rFonts w:ascii="Arial" w:eastAsia="Times New Roman" w:hAnsi="Arial" w:cs="Arial"/>
          <w:b/>
          <w:sz w:val="24"/>
          <w:szCs w:val="24"/>
          <w:lang w:val="es-ES_tradnl"/>
        </w:rPr>
      </w:pPr>
      <w:r w:rsidRPr="00BF4538">
        <w:rPr>
          <w:rFonts w:ascii="Arial" w:eastAsia="Times New Roman" w:hAnsi="Arial" w:cs="Arial"/>
          <w:b/>
          <w:sz w:val="24"/>
          <w:szCs w:val="24"/>
          <w:lang w:val="es-ES_tradnl"/>
        </w:rPr>
        <w:t>RESUMEN</w:t>
      </w:r>
    </w:p>
    <w:p w:rsidR="00F31471" w:rsidRPr="00BF4538" w:rsidRDefault="00F31471" w:rsidP="00BF4538">
      <w:pPr>
        <w:spacing w:after="0" w:line="360" w:lineRule="auto"/>
        <w:jc w:val="both"/>
        <w:rPr>
          <w:rFonts w:ascii="Arial" w:eastAsia="Times New Roman" w:hAnsi="Arial" w:cs="Arial"/>
          <w:sz w:val="24"/>
          <w:szCs w:val="24"/>
          <w:lang w:val="es-ES_tradnl"/>
        </w:rPr>
      </w:pPr>
    </w:p>
    <w:p w:rsidR="00F31471" w:rsidRPr="00BF4538" w:rsidRDefault="00F31471" w:rsidP="00BF4538">
      <w:pPr>
        <w:spacing w:after="0" w:line="360" w:lineRule="auto"/>
        <w:jc w:val="both"/>
        <w:rPr>
          <w:rFonts w:ascii="Arial" w:eastAsia="Times New Roman" w:hAnsi="Arial" w:cs="Arial"/>
          <w:sz w:val="24"/>
          <w:szCs w:val="24"/>
          <w:lang w:eastAsia="es-ES"/>
        </w:rPr>
      </w:pPr>
      <w:r w:rsidRPr="00BF4538">
        <w:rPr>
          <w:rFonts w:ascii="Arial" w:eastAsia="Times New Roman" w:hAnsi="Arial" w:cs="Arial"/>
          <w:sz w:val="24"/>
          <w:szCs w:val="24"/>
          <w:lang w:val="es-ES_tradnl"/>
        </w:rPr>
        <w:t xml:space="preserve">La Diabetes Mellitus es una enfermedad crónica común </w:t>
      </w:r>
      <w:r w:rsidRPr="00BF4538">
        <w:rPr>
          <w:rFonts w:ascii="Arial" w:eastAsia="Times New Roman" w:hAnsi="Arial" w:cs="Arial"/>
          <w:sz w:val="24"/>
          <w:szCs w:val="24"/>
          <w:lang w:val="es-US"/>
        </w:rPr>
        <w:t xml:space="preserve">que ha ido en aumento a nivel mundial y en Cuba. </w:t>
      </w:r>
      <w:r w:rsidRPr="00BF4538">
        <w:rPr>
          <w:rFonts w:ascii="Arial" w:eastAsia="Times New Roman" w:hAnsi="Arial" w:cs="Arial"/>
          <w:sz w:val="24"/>
          <w:szCs w:val="24"/>
          <w:lang w:val="es-ES_tradnl"/>
        </w:rPr>
        <w:t xml:space="preserve">El </w:t>
      </w:r>
      <w:r w:rsidRPr="00BF4538">
        <w:rPr>
          <w:rFonts w:ascii="Arial" w:eastAsia="Times New Roman" w:hAnsi="Arial" w:cs="Arial"/>
          <w:sz w:val="24"/>
          <w:szCs w:val="24"/>
          <w:lang w:val="es-US"/>
        </w:rPr>
        <w:t>pie diabético es una lesión característica de esta enfermedad que de no tratarse adecuadamente conduce en la mayoría de los casos a la amputación del miembro afectado.</w:t>
      </w:r>
      <w:r w:rsidRPr="00BF4538">
        <w:rPr>
          <w:rFonts w:ascii="Arial" w:eastAsia="Times New Roman" w:hAnsi="Arial" w:cs="Arial"/>
          <w:sz w:val="24"/>
          <w:szCs w:val="24"/>
          <w:lang w:val="es-ES" w:eastAsia="es-ES"/>
        </w:rPr>
        <w:t xml:space="preserve"> La aplicación</w:t>
      </w:r>
      <w:r w:rsidRPr="00BF4538">
        <w:rPr>
          <w:rFonts w:ascii="Arial" w:eastAsia="Times New Roman" w:hAnsi="Arial" w:cs="Arial"/>
          <w:sz w:val="24"/>
          <w:szCs w:val="24"/>
          <w:lang w:val="es-ES_tradnl"/>
        </w:rPr>
        <w:t xml:space="preserve"> del Heberprot-P ha incidido favorablemente en la cura de esta lesión y en la calidad de vida de estos pacientes .En el municipio de Fomento se ha venido aplicando este fármaco desde 2007 pero no se ha realizado ningún estudio sobre la evolución clínica y calidad de vida de dichos pacientes, por lo que se declara como objetivo de la investigación: Describir la evolución clínica y calidad de vida de los pacientes tratados con Heberprot-P en el Policlínico Miguel Montesino, municipio Fomento en el período 2018-2020.Se realizó un estudio de tipo observacional, descriptivo y retrospectivo. Fue aplicado a una muestra de 92 pacientes.</w:t>
      </w:r>
      <w:r w:rsidRPr="00BF4538">
        <w:rPr>
          <w:rFonts w:ascii="Arial" w:hAnsi="Arial" w:cs="Arial"/>
          <w:sz w:val="24"/>
          <w:szCs w:val="24"/>
        </w:rPr>
        <w:t xml:space="preserve"> Se estudiaron variables sociodemográficas, clínicas y relacionadas con la calidad de vida. Para la recopilación de la información se utilizó una guía de revisión documental y el cuestionario SF-36.</w:t>
      </w:r>
      <w:r w:rsidRPr="00BF4538">
        <w:rPr>
          <w:rFonts w:ascii="Arial" w:eastAsia="Times New Roman" w:hAnsi="Arial" w:cs="Arial"/>
          <w:sz w:val="24"/>
          <w:szCs w:val="24"/>
          <w:lang w:val="es-ES_tradnl"/>
        </w:rPr>
        <w:t>S</w:t>
      </w:r>
      <w:r w:rsidRPr="00BF4538">
        <w:rPr>
          <w:rFonts w:ascii="Arial" w:eastAsia="Times New Roman" w:hAnsi="Arial" w:cs="Arial"/>
          <w:sz w:val="24"/>
          <w:szCs w:val="24"/>
          <w:lang w:val="es-ES" w:eastAsia="es-ES"/>
        </w:rPr>
        <w:t xml:space="preserve">e utilizaron métodos </w:t>
      </w:r>
      <w:r w:rsidRPr="00BF4538">
        <w:rPr>
          <w:rFonts w:ascii="Arial" w:hAnsi="Arial" w:cs="Arial"/>
          <w:sz w:val="24"/>
          <w:szCs w:val="24"/>
        </w:rPr>
        <w:t>del nivel teórico, empírico-experimental y matemático-estadístico.</w:t>
      </w:r>
      <w:r w:rsidRPr="00BF4538">
        <w:rPr>
          <w:rFonts w:ascii="Arial" w:eastAsia="Times New Roman" w:hAnsi="Arial" w:cs="Arial"/>
          <w:sz w:val="24"/>
          <w:szCs w:val="24"/>
          <w:lang w:eastAsia="es-ES"/>
        </w:rPr>
        <w:t xml:space="preserve"> El estudio demostró una evolución clínica favorable y un mejoramiento de la calidad de vida de estos pacientes, lo cual se evidencia en el aumento de la curación de la ulcera del pie diabético y en la disminución de la cantidad de amputaciones, recidivas y fallecimientos por esta causa.</w:t>
      </w:r>
    </w:p>
    <w:p w:rsidR="00F31471" w:rsidRPr="00F31471" w:rsidRDefault="00F31471" w:rsidP="00BF4538">
      <w:pPr>
        <w:keepNext/>
        <w:spacing w:before="240" w:after="60" w:line="360" w:lineRule="auto"/>
        <w:jc w:val="both"/>
        <w:outlineLvl w:val="0"/>
        <w:rPr>
          <w:rFonts w:ascii="Arial" w:eastAsia="Times New Roman" w:hAnsi="Arial" w:cs="Arial"/>
          <w:b/>
          <w:bCs/>
          <w:kern w:val="32"/>
          <w:sz w:val="24"/>
          <w:szCs w:val="24"/>
          <w:lang w:val="es-ES"/>
        </w:rPr>
      </w:pPr>
      <w:bookmarkStart w:id="0" w:name="_Toc115975163"/>
      <w:r w:rsidRPr="00F31471">
        <w:rPr>
          <w:rFonts w:ascii="Arial" w:eastAsia="Times New Roman" w:hAnsi="Arial" w:cs="Arial"/>
          <w:b/>
          <w:bCs/>
          <w:kern w:val="32"/>
          <w:sz w:val="24"/>
          <w:szCs w:val="24"/>
          <w:lang w:val="es-ES"/>
        </w:rPr>
        <w:lastRenderedPageBreak/>
        <w:t>INTRODUCCIÓN</w:t>
      </w:r>
      <w:bookmarkEnd w:id="0"/>
    </w:p>
    <w:p w:rsidR="00F31471" w:rsidRPr="00F31471" w:rsidRDefault="00F31471" w:rsidP="00BF4538">
      <w:pPr>
        <w:spacing w:after="0" w:line="360" w:lineRule="auto"/>
        <w:jc w:val="both"/>
        <w:rPr>
          <w:rFonts w:ascii="Arial" w:eastAsia="Times New Roman" w:hAnsi="Arial" w:cs="Arial"/>
          <w:sz w:val="24"/>
          <w:szCs w:val="24"/>
          <w:lang w:val="es-ES"/>
        </w:rPr>
      </w:pPr>
    </w:p>
    <w:p w:rsidR="00F31471" w:rsidRPr="00F31471" w:rsidRDefault="00F31471" w:rsidP="00BF4538">
      <w:pPr>
        <w:spacing w:after="0" w:line="360" w:lineRule="auto"/>
        <w:jc w:val="both"/>
        <w:rPr>
          <w:rFonts w:ascii="Arial" w:eastAsia="Times New Roman" w:hAnsi="Arial" w:cs="Arial"/>
          <w:sz w:val="24"/>
          <w:szCs w:val="24"/>
          <w:vertAlign w:val="superscript"/>
          <w:lang w:val="es-ES"/>
        </w:rPr>
      </w:pPr>
      <w:r w:rsidRPr="00F31471">
        <w:rPr>
          <w:rFonts w:ascii="Arial" w:eastAsia="Times New Roman" w:hAnsi="Arial" w:cs="Arial"/>
          <w:sz w:val="24"/>
          <w:szCs w:val="24"/>
          <w:lang w:val="es-ES"/>
        </w:rPr>
        <w:t>La diabetes mellitus (DM) es el único desorden endocrino metabólico cuya prevalencia se encuentra en la actualidad cercana a constituir una pandemia mundial. Según la Organización Mundial de la Salud, actualmente sufren la dolencia 347 millones de seres humanos, lo cual representa el 4,9 por ciento de la población en el orbe y para el 2030 la cifra podría sobrepasar los 400 millones. En las Américas, en el año 2000, se estimó la existencia de 35 millones de diabéticos y se espera que su número se incremente a 64 millones en el 2025.</w:t>
      </w:r>
      <w:r w:rsidRPr="00F31471">
        <w:rPr>
          <w:rFonts w:ascii="Arial" w:eastAsia="Times New Roman" w:hAnsi="Arial" w:cs="Arial"/>
          <w:sz w:val="24"/>
          <w:szCs w:val="24"/>
          <w:vertAlign w:val="superscript"/>
          <w:lang w:val="es-ES"/>
        </w:rPr>
        <w:t>1</w:t>
      </w:r>
    </w:p>
    <w:p w:rsidR="00F31471" w:rsidRPr="00F31471" w:rsidRDefault="00F31471" w:rsidP="00BF4538">
      <w:pPr>
        <w:spacing w:after="0" w:line="360" w:lineRule="auto"/>
        <w:jc w:val="both"/>
        <w:rPr>
          <w:rFonts w:ascii="Arial" w:eastAsia="Times New Roman" w:hAnsi="Arial" w:cs="Arial"/>
          <w:sz w:val="24"/>
          <w:szCs w:val="24"/>
          <w:lang w:val="es-ES"/>
        </w:rPr>
      </w:pPr>
    </w:p>
    <w:p w:rsidR="00F31471" w:rsidRPr="00F31471" w:rsidRDefault="00F31471" w:rsidP="00BF4538">
      <w:pPr>
        <w:spacing w:after="0" w:line="360" w:lineRule="auto"/>
        <w:jc w:val="both"/>
        <w:rPr>
          <w:rFonts w:ascii="Arial" w:eastAsia="Times New Roman" w:hAnsi="Arial" w:cs="Arial"/>
          <w:sz w:val="24"/>
          <w:szCs w:val="24"/>
          <w:lang w:val="es-ES"/>
        </w:rPr>
      </w:pPr>
      <w:r w:rsidRPr="00F31471">
        <w:rPr>
          <w:rFonts w:ascii="Arial" w:eastAsia="Times New Roman" w:hAnsi="Arial" w:cs="Arial"/>
          <w:sz w:val="24"/>
          <w:szCs w:val="24"/>
          <w:lang w:val="es-ES"/>
        </w:rPr>
        <w:t>Este padecimiento es considerado a nivel mundial una catástrofe en salud que se sigue extendiendo, y mucho más preocupante no es solo la cifra de registrados, sino la cantidad de diabéticos ocultos, sin diagnosticar y tratar de manera temprana y oportuna, lo que deviene en la aparición de futuras complicaciones. Muchos países aún están desapercibidos del impacto social y económico de la diabetes. La falta de entendimiento es la mayor barrera para lograr estrategias de prevención efectivas que podrían ayudar a detener el inexorable incremento de esta enfermedad.</w:t>
      </w:r>
      <w:r w:rsidRPr="00F31471">
        <w:rPr>
          <w:rFonts w:ascii="Arial" w:eastAsia="Times New Roman" w:hAnsi="Arial" w:cs="Arial"/>
          <w:sz w:val="24"/>
          <w:szCs w:val="24"/>
          <w:vertAlign w:val="superscript"/>
          <w:lang w:val="es-ES"/>
        </w:rPr>
        <w:t>1</w:t>
      </w:r>
    </w:p>
    <w:p w:rsidR="00F31471" w:rsidRPr="00F31471" w:rsidRDefault="00F31471" w:rsidP="00BF4538">
      <w:pPr>
        <w:spacing w:after="0" w:line="360" w:lineRule="auto"/>
        <w:jc w:val="both"/>
        <w:rPr>
          <w:rFonts w:ascii="Arial" w:eastAsia="Times New Roman" w:hAnsi="Arial" w:cs="Arial"/>
          <w:sz w:val="24"/>
          <w:szCs w:val="24"/>
          <w:lang w:val="es-ES"/>
        </w:rPr>
      </w:pPr>
    </w:p>
    <w:p w:rsidR="00F31471" w:rsidRPr="00F31471" w:rsidRDefault="00F31471" w:rsidP="00BF4538">
      <w:pPr>
        <w:spacing w:after="0" w:line="360" w:lineRule="auto"/>
        <w:jc w:val="both"/>
        <w:rPr>
          <w:rFonts w:ascii="Arial" w:eastAsia="Times New Roman" w:hAnsi="Arial" w:cs="Arial"/>
          <w:sz w:val="24"/>
          <w:szCs w:val="24"/>
          <w:lang w:val="es-ES"/>
        </w:rPr>
      </w:pPr>
      <w:r w:rsidRPr="00F31471">
        <w:rPr>
          <w:rFonts w:ascii="Arial" w:eastAsia="Times New Roman" w:hAnsi="Arial" w:cs="Arial"/>
          <w:sz w:val="24"/>
          <w:szCs w:val="24"/>
          <w:lang w:val="es-ES"/>
        </w:rPr>
        <w:t>Según datos del Anuario Estadístico de salud 2020, Sancti-Spìritus se comporta con una tasa de 90.9 %, siendo la provincia con más pacientes diabéticos en Cuba, cerca de 30 000 personas actualmente padecen la enfermedad y se debe no solo, según dicen los especialistas, a los elevados índices de envejecimiento poblacional; sino a que se ha indagado palmo a palmo con mayor agudeza.</w:t>
      </w:r>
      <w:r w:rsidRPr="00F31471">
        <w:rPr>
          <w:rFonts w:ascii="Arial" w:eastAsia="Times New Roman" w:hAnsi="Arial" w:cs="Arial"/>
          <w:sz w:val="24"/>
          <w:szCs w:val="24"/>
          <w:vertAlign w:val="superscript"/>
          <w:lang w:val="es-ES"/>
        </w:rPr>
        <w:t>2</w:t>
      </w:r>
    </w:p>
    <w:p w:rsidR="00F31471" w:rsidRPr="00F31471" w:rsidRDefault="00F31471" w:rsidP="00BF4538">
      <w:pPr>
        <w:spacing w:after="0" w:line="360" w:lineRule="auto"/>
        <w:jc w:val="both"/>
        <w:rPr>
          <w:rFonts w:ascii="Arial" w:eastAsia="Times New Roman" w:hAnsi="Arial" w:cs="Arial"/>
          <w:sz w:val="24"/>
          <w:szCs w:val="24"/>
          <w:lang w:val="es-ES"/>
        </w:rPr>
      </w:pPr>
    </w:p>
    <w:p w:rsidR="00F31471" w:rsidRPr="00F31471" w:rsidRDefault="00F31471" w:rsidP="00BF4538">
      <w:pPr>
        <w:spacing w:after="0" w:line="360" w:lineRule="auto"/>
        <w:jc w:val="both"/>
        <w:rPr>
          <w:rFonts w:ascii="Arial" w:eastAsia="Times New Roman" w:hAnsi="Arial" w:cs="Arial"/>
          <w:sz w:val="24"/>
          <w:szCs w:val="24"/>
          <w:lang w:val="es-ES"/>
        </w:rPr>
      </w:pPr>
      <w:r w:rsidRPr="00F31471">
        <w:rPr>
          <w:rFonts w:ascii="Arial" w:eastAsia="Times New Roman" w:hAnsi="Arial" w:cs="Arial"/>
          <w:sz w:val="24"/>
          <w:szCs w:val="24"/>
          <w:lang w:val="es-ES"/>
        </w:rPr>
        <w:t>Las úlceras del pie diabético son una alteración clínica de base etiopatogénica neuropática e inducida por la hiperglucemia mantenida, en la que con o sin coexistencia de isquemia, y previo desencadenante traumático, produce lesión y/o ulceración del pie. Es más común en hombres que en mujeres, entre 45 y 65 años, con mayor prevalencia en pacientes con Diabetes tipo 2.Forman parte de las complicaciones que tienen los diabéticos y son evidencia del grado de deterioro de la salud de ellos después de un tiempo de sufrir la enfermedad.</w:t>
      </w:r>
      <w:r w:rsidRPr="00F31471">
        <w:rPr>
          <w:rFonts w:ascii="Arial" w:eastAsia="Times New Roman" w:hAnsi="Arial" w:cs="Arial"/>
          <w:sz w:val="24"/>
          <w:szCs w:val="24"/>
          <w:vertAlign w:val="superscript"/>
          <w:lang w:val="es-ES"/>
        </w:rPr>
        <w:t xml:space="preserve">2 </w:t>
      </w:r>
    </w:p>
    <w:p w:rsidR="00F31471" w:rsidRPr="00F31471" w:rsidRDefault="00F31471" w:rsidP="00BF4538">
      <w:pPr>
        <w:spacing w:after="0" w:line="360" w:lineRule="auto"/>
        <w:jc w:val="both"/>
        <w:rPr>
          <w:rFonts w:ascii="Arial" w:eastAsia="Times New Roman" w:hAnsi="Arial" w:cs="Arial"/>
          <w:sz w:val="24"/>
          <w:szCs w:val="24"/>
          <w:lang w:val="es-ES"/>
        </w:rPr>
      </w:pPr>
    </w:p>
    <w:p w:rsidR="00F31471" w:rsidRPr="00F31471" w:rsidRDefault="00F31471" w:rsidP="00BF4538">
      <w:pPr>
        <w:spacing w:after="0" w:line="360" w:lineRule="auto"/>
        <w:jc w:val="both"/>
        <w:rPr>
          <w:rFonts w:ascii="Arial" w:eastAsia="Times New Roman" w:hAnsi="Arial" w:cs="Arial"/>
          <w:sz w:val="24"/>
          <w:szCs w:val="24"/>
          <w:vertAlign w:val="superscript"/>
          <w:lang w:val="es-ES"/>
        </w:rPr>
      </w:pPr>
      <w:r w:rsidRPr="00F31471">
        <w:rPr>
          <w:rFonts w:ascii="Arial" w:eastAsia="Times New Roman" w:hAnsi="Arial" w:cs="Arial"/>
          <w:sz w:val="24"/>
          <w:szCs w:val="24"/>
          <w:lang w:val="es-ES"/>
        </w:rPr>
        <w:t>Se asocia con una importante morbilidad, mortalidad, costos, y disminución de la calidad de vida. Puede ocasionar importante discapacidad y en ausencia de control del paciente y manejo inadecuado, puede derivar hacia un resultado desfavorable con una posible amputación del pie o pierna.</w:t>
      </w:r>
      <w:r w:rsidRPr="00F31471">
        <w:rPr>
          <w:rFonts w:ascii="Arial" w:eastAsia="Times New Roman" w:hAnsi="Arial" w:cs="Arial"/>
          <w:sz w:val="24"/>
          <w:szCs w:val="24"/>
          <w:vertAlign w:val="superscript"/>
          <w:lang w:val="es-ES"/>
        </w:rPr>
        <w:t xml:space="preserve">2 </w:t>
      </w:r>
    </w:p>
    <w:p w:rsidR="00F31471" w:rsidRPr="00F31471" w:rsidRDefault="00F31471" w:rsidP="00BF4538">
      <w:pPr>
        <w:spacing w:after="0" w:line="360" w:lineRule="auto"/>
        <w:jc w:val="both"/>
        <w:rPr>
          <w:rFonts w:ascii="Arial" w:eastAsia="Times New Roman" w:hAnsi="Arial" w:cs="Arial"/>
          <w:sz w:val="24"/>
          <w:szCs w:val="24"/>
          <w:vertAlign w:val="superscript"/>
          <w:lang w:val="es-ES"/>
        </w:rPr>
      </w:pPr>
    </w:p>
    <w:p w:rsidR="00F31471" w:rsidRPr="00F31471" w:rsidRDefault="00F31471" w:rsidP="00BF4538">
      <w:pPr>
        <w:spacing w:after="0" w:line="360" w:lineRule="auto"/>
        <w:jc w:val="both"/>
        <w:rPr>
          <w:rFonts w:ascii="Arial" w:eastAsia="Times New Roman" w:hAnsi="Arial" w:cs="Arial"/>
          <w:sz w:val="24"/>
          <w:szCs w:val="24"/>
          <w:vertAlign w:val="superscript"/>
          <w:lang w:val="es-ES"/>
        </w:rPr>
      </w:pPr>
      <w:r w:rsidRPr="00F31471">
        <w:rPr>
          <w:rFonts w:ascii="Arial" w:eastAsia="Times New Roman" w:hAnsi="Arial" w:cs="Arial"/>
          <w:sz w:val="24"/>
          <w:szCs w:val="24"/>
          <w:lang w:val="es-ES"/>
        </w:rPr>
        <w:t>Cada 30 segundos se amputa un pie en el mundo por causa de la diabetes, para sumar casi 2 900 personas al día que quedan separadas para siempre de una de sus extremidades y una vez amputado el primer pie, el riesgo de amputación del contralateral es del 50% en los primeros 5 años, y las tasas de mortalidad en igual período rondan el 70% de los casos.</w:t>
      </w:r>
      <w:r w:rsidRPr="00F31471">
        <w:rPr>
          <w:rFonts w:ascii="Arial" w:eastAsia="Times New Roman" w:hAnsi="Arial" w:cs="Arial"/>
          <w:sz w:val="24"/>
          <w:szCs w:val="24"/>
          <w:vertAlign w:val="superscript"/>
          <w:lang w:val="es-ES"/>
        </w:rPr>
        <w:t>3</w:t>
      </w:r>
    </w:p>
    <w:p w:rsidR="00F31471" w:rsidRPr="00F31471" w:rsidRDefault="00F31471" w:rsidP="00BF4538">
      <w:pPr>
        <w:spacing w:after="0" w:line="360" w:lineRule="auto"/>
        <w:jc w:val="both"/>
        <w:rPr>
          <w:rFonts w:ascii="Arial" w:eastAsia="Times New Roman" w:hAnsi="Arial" w:cs="Arial"/>
          <w:sz w:val="24"/>
          <w:szCs w:val="24"/>
          <w:vertAlign w:val="superscript"/>
          <w:lang w:val="es-ES"/>
        </w:rPr>
      </w:pPr>
    </w:p>
    <w:p w:rsidR="00F31471" w:rsidRPr="00F31471" w:rsidRDefault="00F31471" w:rsidP="00BF4538">
      <w:pPr>
        <w:spacing w:after="0" w:line="360" w:lineRule="auto"/>
        <w:jc w:val="both"/>
        <w:rPr>
          <w:rFonts w:ascii="Arial" w:eastAsia="Times New Roman" w:hAnsi="Arial" w:cs="Arial"/>
          <w:sz w:val="24"/>
          <w:szCs w:val="24"/>
          <w:vertAlign w:val="superscript"/>
          <w:lang w:val="es-ES"/>
        </w:rPr>
      </w:pPr>
      <w:r w:rsidRPr="00F31471">
        <w:rPr>
          <w:rFonts w:ascii="Arial" w:eastAsia="Times New Roman" w:hAnsi="Arial" w:cs="Arial"/>
          <w:sz w:val="24"/>
          <w:szCs w:val="24"/>
          <w:lang w:val="es-ES"/>
        </w:rPr>
        <w:t>En cuanto a la calidad de vida, las cifras internacionales plantean que, después de un quinquenio, menos del 40 por ciento de estos enfermos logra una buena calidad de vida relacionada con la salud, la mayoría de los casos se queja por sus úlceras crónicas, con dolores y dificultades para hacer sus actividades diarias.</w:t>
      </w:r>
      <w:r w:rsidRPr="00F31471">
        <w:rPr>
          <w:rFonts w:ascii="Arial" w:eastAsia="Times New Roman" w:hAnsi="Arial" w:cs="Arial"/>
          <w:sz w:val="24"/>
          <w:szCs w:val="24"/>
          <w:vertAlign w:val="superscript"/>
          <w:lang w:val="es-ES"/>
        </w:rPr>
        <w:t>4</w:t>
      </w:r>
    </w:p>
    <w:p w:rsidR="00F31471" w:rsidRPr="00F31471" w:rsidRDefault="00F31471" w:rsidP="00BF4538">
      <w:pPr>
        <w:spacing w:after="0" w:line="360" w:lineRule="auto"/>
        <w:jc w:val="both"/>
        <w:rPr>
          <w:rFonts w:ascii="Arial" w:eastAsia="Times New Roman" w:hAnsi="Arial" w:cs="Arial"/>
          <w:sz w:val="24"/>
          <w:szCs w:val="24"/>
          <w:vertAlign w:val="superscript"/>
          <w:lang w:val="es-ES"/>
        </w:rPr>
      </w:pPr>
    </w:p>
    <w:p w:rsidR="00F31471" w:rsidRPr="00F31471" w:rsidRDefault="00F31471" w:rsidP="00BF4538">
      <w:pPr>
        <w:spacing w:after="0" w:line="360" w:lineRule="auto"/>
        <w:jc w:val="both"/>
        <w:rPr>
          <w:rFonts w:ascii="Arial" w:eastAsia="Times New Roman" w:hAnsi="Arial" w:cs="Arial"/>
          <w:sz w:val="24"/>
          <w:szCs w:val="24"/>
          <w:vertAlign w:val="superscript"/>
          <w:lang w:val="es-ES"/>
        </w:rPr>
      </w:pPr>
      <w:r w:rsidRPr="00F31471">
        <w:rPr>
          <w:rFonts w:ascii="Arial" w:eastAsia="Times New Roman" w:hAnsi="Arial" w:cs="Arial"/>
          <w:sz w:val="24"/>
          <w:szCs w:val="24"/>
          <w:lang w:val="es-ES"/>
        </w:rPr>
        <w:t>El tratamiento básico para un buen manejo de la UPD incluye un estricto control metabólico, desbridamientos, vendajes y antibióticos. Nuevas terapias están emergiendo para las úlceras de bajo grado de índole neuropática. Para las úlceras de alto grado que son las que más probablemente llevan a la amputación, los avances terapéuticos han sido escasos.</w:t>
      </w:r>
      <w:r w:rsidRPr="00F31471">
        <w:rPr>
          <w:rFonts w:ascii="Arial" w:eastAsia="Times New Roman" w:hAnsi="Arial" w:cs="Arial"/>
          <w:sz w:val="24"/>
          <w:szCs w:val="24"/>
          <w:vertAlign w:val="superscript"/>
          <w:lang w:val="es-ES"/>
        </w:rPr>
        <w:t>5</w:t>
      </w:r>
    </w:p>
    <w:p w:rsidR="00F31471" w:rsidRPr="00F31471" w:rsidRDefault="00F31471" w:rsidP="00BF4538">
      <w:pPr>
        <w:spacing w:after="0" w:line="360" w:lineRule="auto"/>
        <w:jc w:val="both"/>
        <w:rPr>
          <w:rFonts w:ascii="Arial" w:eastAsia="Times New Roman" w:hAnsi="Arial" w:cs="Arial"/>
          <w:sz w:val="24"/>
          <w:szCs w:val="24"/>
          <w:lang w:val="es-ES"/>
        </w:rPr>
      </w:pPr>
    </w:p>
    <w:p w:rsidR="00F31471" w:rsidRPr="00F31471" w:rsidRDefault="00F31471" w:rsidP="00BF4538">
      <w:pPr>
        <w:spacing w:after="0" w:line="360" w:lineRule="auto"/>
        <w:jc w:val="both"/>
        <w:rPr>
          <w:rFonts w:ascii="Arial" w:eastAsia="Times New Roman" w:hAnsi="Arial" w:cs="Arial"/>
          <w:sz w:val="24"/>
          <w:szCs w:val="24"/>
          <w:lang w:val="es-ES"/>
        </w:rPr>
      </w:pPr>
      <w:r w:rsidRPr="00F31471">
        <w:rPr>
          <w:rFonts w:ascii="Arial" w:eastAsia="Times New Roman" w:hAnsi="Arial" w:cs="Arial"/>
          <w:sz w:val="24"/>
          <w:szCs w:val="24"/>
          <w:lang w:val="es-ES"/>
        </w:rPr>
        <w:t>El Ministerio de Salud Pública de Cuba desarrolla un Programa Integral para la atención al paciente diabético destinado a reducir la tasa de mortalidad por diabetes. Para ello, se apoya en los centros existentes en el país para la atención a este padecimiento y en el Programa del Médico y la Enfermera de la familia .</w:t>
      </w:r>
      <w:r w:rsidRPr="00F31471">
        <w:rPr>
          <w:rFonts w:ascii="Arial" w:eastAsia="Times New Roman" w:hAnsi="Arial" w:cs="Arial"/>
          <w:sz w:val="24"/>
          <w:szCs w:val="24"/>
          <w:vertAlign w:val="superscript"/>
          <w:lang w:val="es-ES"/>
        </w:rPr>
        <w:t>6</w:t>
      </w:r>
    </w:p>
    <w:p w:rsidR="00F31471" w:rsidRPr="00F31471" w:rsidRDefault="00F31471" w:rsidP="00BF4538">
      <w:pPr>
        <w:spacing w:after="0" w:line="360" w:lineRule="auto"/>
        <w:jc w:val="both"/>
        <w:rPr>
          <w:rFonts w:ascii="Arial" w:eastAsia="Times New Roman" w:hAnsi="Arial" w:cs="Arial"/>
          <w:sz w:val="24"/>
          <w:szCs w:val="24"/>
          <w:lang w:val="es-ES"/>
        </w:rPr>
      </w:pPr>
    </w:p>
    <w:p w:rsidR="00F31471" w:rsidRPr="00F31471" w:rsidRDefault="00F31471" w:rsidP="00BF4538">
      <w:pPr>
        <w:spacing w:after="0" w:line="360" w:lineRule="auto"/>
        <w:jc w:val="both"/>
        <w:rPr>
          <w:rFonts w:ascii="Arial" w:eastAsia="Times New Roman" w:hAnsi="Arial" w:cs="Arial"/>
          <w:sz w:val="24"/>
          <w:szCs w:val="24"/>
          <w:lang w:val="es-ES"/>
        </w:rPr>
      </w:pPr>
      <w:r w:rsidRPr="00F31471">
        <w:rPr>
          <w:rFonts w:ascii="Arial" w:eastAsia="Times New Roman" w:hAnsi="Arial" w:cs="Arial"/>
          <w:sz w:val="24"/>
          <w:szCs w:val="24"/>
          <w:lang w:val="es-ES"/>
        </w:rPr>
        <w:t xml:space="preserve">La estrategia esencial radica en la pesquisa y el diagnóstico temprano de la enfermedad de manera que el enfermo reciba la educación sanitaria y el tratamiento oportuno </w:t>
      </w:r>
      <w:r w:rsidRPr="00F31471">
        <w:rPr>
          <w:rFonts w:ascii="Arial" w:eastAsia="Times New Roman" w:hAnsi="Arial" w:cs="Arial"/>
          <w:sz w:val="24"/>
          <w:szCs w:val="24"/>
          <w:lang w:val="es-ES"/>
        </w:rPr>
        <w:lastRenderedPageBreak/>
        <w:t>necesario para asegurar el control metabólico e impedir a tiempo las complicaciones graves de esta enfermedad.</w:t>
      </w:r>
      <w:r w:rsidRPr="00F31471">
        <w:rPr>
          <w:rFonts w:ascii="Arial" w:eastAsia="Times New Roman" w:hAnsi="Arial" w:cs="Arial"/>
          <w:sz w:val="24"/>
          <w:szCs w:val="24"/>
          <w:vertAlign w:val="superscript"/>
          <w:lang w:val="es-ES"/>
        </w:rPr>
        <w:t>7</w:t>
      </w:r>
    </w:p>
    <w:p w:rsidR="00F31471" w:rsidRPr="00F31471" w:rsidRDefault="00F31471" w:rsidP="00BF4538">
      <w:pPr>
        <w:spacing w:after="0" w:line="360" w:lineRule="auto"/>
        <w:jc w:val="both"/>
        <w:rPr>
          <w:rFonts w:ascii="Arial" w:eastAsia="Times New Roman" w:hAnsi="Arial" w:cs="Arial"/>
          <w:sz w:val="24"/>
          <w:szCs w:val="24"/>
          <w:lang w:val="es-ES"/>
        </w:rPr>
      </w:pPr>
    </w:p>
    <w:p w:rsidR="00F31471" w:rsidRPr="00F31471" w:rsidRDefault="00F31471" w:rsidP="00BF4538">
      <w:pPr>
        <w:spacing w:after="0" w:line="360" w:lineRule="auto"/>
        <w:jc w:val="both"/>
        <w:rPr>
          <w:rFonts w:ascii="Arial" w:eastAsia="Times New Roman" w:hAnsi="Arial" w:cs="Arial"/>
          <w:sz w:val="24"/>
          <w:szCs w:val="24"/>
          <w:vertAlign w:val="superscript"/>
          <w:lang w:val="es-ES"/>
        </w:rPr>
      </w:pPr>
      <w:r w:rsidRPr="00F31471">
        <w:rPr>
          <w:rFonts w:ascii="Arial" w:eastAsia="Times New Roman" w:hAnsi="Arial" w:cs="Arial"/>
          <w:sz w:val="24"/>
          <w:szCs w:val="24"/>
          <w:lang w:val="es-ES"/>
        </w:rPr>
        <w:t>La cicatrización de la úlcera de alto grado de miembros inferiores era una necesidad médica no cubierta en estos pacientes. En este sentido, en abril de 2007 se incluyó en el cuadro básico de medicamentos de Cuba un producto único de su tipo a nivel mundial, fruto del desarrollo de la biotecnología cubana, el Heberprot-P® (Heber Biotec S.A, Cuba) cuyo componente activo es el factor de crecimiento epidérmico humano recombinante .</w:t>
      </w:r>
      <w:r w:rsidRPr="00F31471">
        <w:rPr>
          <w:rFonts w:ascii="Arial" w:eastAsia="Times New Roman" w:hAnsi="Arial" w:cs="Arial"/>
          <w:sz w:val="24"/>
          <w:szCs w:val="24"/>
          <w:vertAlign w:val="superscript"/>
          <w:lang w:val="es-ES"/>
        </w:rPr>
        <w:t>6</w:t>
      </w:r>
    </w:p>
    <w:p w:rsidR="00F31471" w:rsidRPr="00F31471" w:rsidRDefault="00F31471" w:rsidP="00BF4538">
      <w:pPr>
        <w:spacing w:after="0" w:line="360" w:lineRule="auto"/>
        <w:jc w:val="both"/>
        <w:rPr>
          <w:rFonts w:ascii="Arial" w:eastAsia="Times New Roman" w:hAnsi="Arial" w:cs="Arial"/>
          <w:sz w:val="24"/>
          <w:szCs w:val="24"/>
          <w:vertAlign w:val="superscript"/>
          <w:lang w:val="es-ES"/>
        </w:rPr>
      </w:pPr>
    </w:p>
    <w:p w:rsidR="00F31471" w:rsidRPr="00F31471" w:rsidRDefault="00F31471" w:rsidP="00BF4538">
      <w:pPr>
        <w:spacing w:after="0" w:line="360" w:lineRule="auto"/>
        <w:jc w:val="both"/>
        <w:rPr>
          <w:rFonts w:ascii="Arial" w:eastAsia="Times New Roman" w:hAnsi="Arial" w:cs="Arial"/>
          <w:sz w:val="24"/>
          <w:szCs w:val="24"/>
          <w:vertAlign w:val="superscript"/>
          <w:lang w:val="es-ES"/>
        </w:rPr>
      </w:pPr>
      <w:r w:rsidRPr="00F31471">
        <w:rPr>
          <w:rFonts w:ascii="Arial" w:eastAsia="Times New Roman" w:hAnsi="Arial" w:cs="Arial"/>
          <w:sz w:val="24"/>
          <w:szCs w:val="24"/>
          <w:lang w:val="es-ES"/>
        </w:rPr>
        <w:t>El medicamento está indicado para el tratamiento de lesiones, en lo fundamental las crónicas terminales, que por su complejidad clínico-patológica establecen un pronóstico muy sombrío y se ubican en los estadios 3 y 4 de Wagner (máximo de 5).</w:t>
      </w:r>
      <w:r w:rsidRPr="00F31471">
        <w:rPr>
          <w:rFonts w:ascii="Arial" w:eastAsia="Times New Roman" w:hAnsi="Arial" w:cs="Arial"/>
          <w:sz w:val="24"/>
          <w:szCs w:val="24"/>
          <w:vertAlign w:val="superscript"/>
          <w:lang w:val="es-ES"/>
        </w:rPr>
        <w:t>8</w:t>
      </w:r>
    </w:p>
    <w:p w:rsidR="00F31471" w:rsidRPr="00F31471" w:rsidRDefault="00F31471" w:rsidP="00BF4538">
      <w:pPr>
        <w:spacing w:after="0" w:line="360" w:lineRule="auto"/>
        <w:jc w:val="both"/>
        <w:rPr>
          <w:rFonts w:ascii="Arial" w:eastAsia="Times New Roman" w:hAnsi="Arial" w:cs="Arial"/>
          <w:sz w:val="24"/>
          <w:szCs w:val="24"/>
          <w:lang w:val="es-ES"/>
        </w:rPr>
      </w:pPr>
    </w:p>
    <w:p w:rsidR="00F31471" w:rsidRPr="00F31471" w:rsidRDefault="00F31471" w:rsidP="00BF4538">
      <w:pPr>
        <w:spacing w:after="0" w:line="360" w:lineRule="auto"/>
        <w:jc w:val="both"/>
        <w:rPr>
          <w:rFonts w:ascii="Arial" w:eastAsia="Times New Roman" w:hAnsi="Arial" w:cs="Arial"/>
          <w:sz w:val="24"/>
          <w:szCs w:val="24"/>
          <w:lang w:val="es-ES"/>
        </w:rPr>
      </w:pPr>
      <w:r w:rsidRPr="00F31471">
        <w:rPr>
          <w:rFonts w:ascii="Arial" w:eastAsia="Times New Roman" w:hAnsi="Arial" w:cs="Arial"/>
          <w:sz w:val="24"/>
          <w:szCs w:val="24"/>
          <w:lang w:val="es-ES"/>
        </w:rPr>
        <w:t>Varios estudios demuestran que reduce el índice de amputaciones. Además de emplearse en los hospitales, se utiliza en la Atención Primaria de Salud y para ello existe una consulta especializada en los 23 policlínicos de nuestra provincia. Tanto que anualmente una cifra que supera el millar de pacientes con úlceras del pie diabético reciben tratamiento con Heberprot- P en las unidades asistenciales de la provincia y más del 85 por ciento de ellos se detectan en la Atención Primaria de Salud.</w:t>
      </w:r>
      <w:r w:rsidRPr="00F31471">
        <w:rPr>
          <w:rFonts w:ascii="Arial" w:eastAsia="Times New Roman" w:hAnsi="Arial" w:cs="Arial"/>
          <w:sz w:val="24"/>
          <w:szCs w:val="24"/>
          <w:vertAlign w:val="superscript"/>
          <w:lang w:val="es-ES"/>
        </w:rPr>
        <w:t>9</w:t>
      </w:r>
    </w:p>
    <w:p w:rsidR="00F31471" w:rsidRPr="00F31471" w:rsidRDefault="00F31471" w:rsidP="00BF4538">
      <w:pPr>
        <w:spacing w:after="0" w:line="360" w:lineRule="auto"/>
        <w:jc w:val="both"/>
        <w:rPr>
          <w:rFonts w:ascii="Arial" w:eastAsia="Times New Roman" w:hAnsi="Arial" w:cs="Arial"/>
          <w:sz w:val="24"/>
          <w:szCs w:val="24"/>
          <w:lang w:val="es-ES"/>
        </w:rPr>
      </w:pPr>
    </w:p>
    <w:p w:rsidR="00F31471" w:rsidRPr="00F31471" w:rsidRDefault="00F31471" w:rsidP="00BF4538">
      <w:pPr>
        <w:spacing w:after="0" w:line="360" w:lineRule="auto"/>
        <w:jc w:val="both"/>
        <w:rPr>
          <w:rFonts w:ascii="Arial" w:eastAsia="Times New Roman" w:hAnsi="Arial" w:cs="Arial"/>
          <w:sz w:val="24"/>
          <w:szCs w:val="24"/>
          <w:lang w:val="es-ES"/>
        </w:rPr>
      </w:pPr>
      <w:r w:rsidRPr="00F31471">
        <w:rPr>
          <w:rFonts w:ascii="Arial" w:eastAsia="Times New Roman" w:hAnsi="Arial" w:cs="Arial"/>
          <w:sz w:val="24"/>
          <w:szCs w:val="24"/>
          <w:lang w:val="es-ES"/>
        </w:rPr>
        <w:t>En el año 2020, fueron tratados alrededor de 12 mil pacientes y las amputaciones en el país se limitaron a unas mil 700 cuando en realidad debieron haber ocurrido cuatro mil, todo lo que redunda en menos costo para el sistema de salud y para la familia.</w:t>
      </w:r>
      <w:r w:rsidRPr="00F31471">
        <w:rPr>
          <w:rFonts w:ascii="Arial" w:eastAsia="Times New Roman" w:hAnsi="Arial" w:cs="Arial"/>
          <w:sz w:val="24"/>
          <w:szCs w:val="24"/>
          <w:vertAlign w:val="superscript"/>
          <w:lang w:val="es-ES"/>
        </w:rPr>
        <w:t>2</w:t>
      </w:r>
    </w:p>
    <w:p w:rsidR="00F31471" w:rsidRPr="00F31471" w:rsidRDefault="00F31471" w:rsidP="00BF4538">
      <w:pPr>
        <w:spacing w:after="0" w:line="360" w:lineRule="auto"/>
        <w:jc w:val="both"/>
        <w:rPr>
          <w:rFonts w:ascii="Arial" w:eastAsia="Times New Roman" w:hAnsi="Arial" w:cs="Arial"/>
          <w:sz w:val="24"/>
          <w:szCs w:val="24"/>
          <w:lang w:val="es-ES" w:eastAsia="es-ES"/>
        </w:rPr>
      </w:pPr>
    </w:p>
    <w:p w:rsidR="00F31471" w:rsidRPr="00F31471" w:rsidRDefault="00F31471" w:rsidP="00BF4538">
      <w:pPr>
        <w:spacing w:after="0" w:line="360" w:lineRule="auto"/>
        <w:jc w:val="both"/>
        <w:rPr>
          <w:rFonts w:ascii="Arial" w:eastAsia="Times New Roman" w:hAnsi="Arial" w:cs="Arial"/>
          <w:sz w:val="24"/>
          <w:szCs w:val="24"/>
          <w:lang w:val="es-ES" w:eastAsia="es-ES"/>
        </w:rPr>
      </w:pPr>
      <w:r w:rsidRPr="00F31471">
        <w:rPr>
          <w:rFonts w:ascii="Arial" w:eastAsia="Times New Roman" w:hAnsi="Arial" w:cs="Arial"/>
          <w:sz w:val="24"/>
          <w:szCs w:val="24"/>
          <w:lang w:val="es-ES" w:eastAsia="es-ES"/>
        </w:rPr>
        <w:t>El cuestionario de salud SF-36 que utilizamos en nuestra investigación fue desarrollado a principios de los años noventa, en Estados Unidos, para su uso en el Estudio de los Resultados Médicos (Medical Outcomes Study, MOS). Es una escala genérica que proporciona un perfil del estado de salud y es aplicable tanto a los pacientes como a la población general.</w:t>
      </w:r>
      <w:r w:rsidRPr="00F31471">
        <w:rPr>
          <w:rFonts w:ascii="Arial" w:eastAsia="Times New Roman" w:hAnsi="Arial" w:cs="Arial"/>
          <w:sz w:val="24"/>
          <w:szCs w:val="24"/>
          <w:vertAlign w:val="superscript"/>
          <w:lang w:val="es-ES" w:eastAsia="es-ES"/>
        </w:rPr>
        <w:t>10</w:t>
      </w:r>
    </w:p>
    <w:p w:rsidR="00F31471" w:rsidRPr="00F31471" w:rsidRDefault="00F31471" w:rsidP="00BF4538">
      <w:pPr>
        <w:spacing w:after="0" w:line="360" w:lineRule="auto"/>
        <w:jc w:val="both"/>
        <w:rPr>
          <w:rFonts w:ascii="Arial" w:eastAsia="Times New Roman" w:hAnsi="Arial" w:cs="Arial"/>
          <w:sz w:val="24"/>
          <w:szCs w:val="24"/>
          <w:lang w:val="es-ES" w:eastAsia="es-ES"/>
        </w:rPr>
      </w:pPr>
    </w:p>
    <w:p w:rsidR="00F31471" w:rsidRPr="00F31471" w:rsidRDefault="00F31471" w:rsidP="00BF4538">
      <w:pPr>
        <w:spacing w:after="0" w:line="360" w:lineRule="auto"/>
        <w:jc w:val="both"/>
        <w:rPr>
          <w:rFonts w:ascii="Arial" w:eastAsia="Times New Roman" w:hAnsi="Arial" w:cs="Arial"/>
          <w:sz w:val="24"/>
          <w:szCs w:val="24"/>
          <w:lang w:val="es-ES" w:eastAsia="es-ES"/>
        </w:rPr>
      </w:pPr>
      <w:r w:rsidRPr="00F31471">
        <w:rPr>
          <w:rFonts w:ascii="Arial" w:eastAsia="Times New Roman" w:hAnsi="Arial" w:cs="Arial"/>
          <w:sz w:val="24"/>
          <w:szCs w:val="24"/>
          <w:lang w:val="es-ES" w:eastAsia="es-ES"/>
        </w:rPr>
        <w:lastRenderedPageBreak/>
        <w:t>Ha resultado útil para evaluar la calidad de vida relacionada con la salud (CVRS) en la población general y en subgrupos específicos, para comparar la carga de diversas enfermedades, detectar los beneficios en la salud producidos por tratamientos diferentes y valorar el estado de salud de pacientes individualmente.</w:t>
      </w:r>
      <w:r w:rsidRPr="00F31471">
        <w:rPr>
          <w:rFonts w:ascii="Arial" w:eastAsia="Times New Roman" w:hAnsi="Arial" w:cs="Arial"/>
          <w:sz w:val="24"/>
          <w:szCs w:val="24"/>
          <w:vertAlign w:val="superscript"/>
          <w:lang w:val="es-ES" w:eastAsia="es-ES"/>
        </w:rPr>
        <w:t>10</w:t>
      </w:r>
    </w:p>
    <w:p w:rsidR="00F31471" w:rsidRPr="00F31471" w:rsidRDefault="00F31471" w:rsidP="00BF4538">
      <w:pPr>
        <w:spacing w:after="0" w:line="360" w:lineRule="auto"/>
        <w:jc w:val="both"/>
        <w:rPr>
          <w:rFonts w:ascii="Arial" w:eastAsia="Times New Roman" w:hAnsi="Arial" w:cs="Arial"/>
          <w:sz w:val="24"/>
          <w:szCs w:val="24"/>
          <w:lang w:val="es-ES" w:eastAsia="es-ES"/>
        </w:rPr>
      </w:pPr>
    </w:p>
    <w:p w:rsidR="00F31471" w:rsidRPr="00F31471" w:rsidRDefault="00F31471" w:rsidP="00BF4538">
      <w:pPr>
        <w:spacing w:after="0" w:line="360" w:lineRule="auto"/>
        <w:jc w:val="both"/>
        <w:rPr>
          <w:rFonts w:ascii="Arial" w:eastAsia="Times New Roman" w:hAnsi="Arial" w:cs="Arial"/>
          <w:sz w:val="24"/>
          <w:szCs w:val="24"/>
          <w:lang w:val="es-ES" w:eastAsia="es-ES"/>
        </w:rPr>
      </w:pPr>
      <w:r w:rsidRPr="00F31471">
        <w:rPr>
          <w:rFonts w:ascii="Arial" w:eastAsia="Times New Roman" w:hAnsi="Arial" w:cs="Arial"/>
          <w:sz w:val="24"/>
          <w:szCs w:val="24"/>
          <w:lang w:val="es-ES" w:eastAsia="es-ES"/>
        </w:rPr>
        <w:t>Sus buenas propiedades psicométricas, que han sido evaluadas en más de 400 artículos, y la multitud de estudios ya realizados, que permiten la comparación de resultados, lo convierten en uno de los instrumentos con mayor potencial en el campo de la CVRS.</w:t>
      </w:r>
      <w:r w:rsidRPr="00F31471">
        <w:rPr>
          <w:rFonts w:ascii="Arial" w:eastAsia="Times New Roman" w:hAnsi="Arial" w:cs="Arial"/>
          <w:sz w:val="24"/>
          <w:szCs w:val="24"/>
          <w:vertAlign w:val="superscript"/>
          <w:lang w:val="es-ES" w:eastAsia="es-ES"/>
        </w:rPr>
        <w:t>10</w:t>
      </w:r>
    </w:p>
    <w:p w:rsidR="00F31471" w:rsidRPr="00F31471" w:rsidRDefault="00F31471" w:rsidP="00BF4538">
      <w:pPr>
        <w:spacing w:after="0" w:line="360" w:lineRule="auto"/>
        <w:jc w:val="both"/>
        <w:rPr>
          <w:rFonts w:ascii="Arial" w:eastAsia="Times New Roman" w:hAnsi="Arial" w:cs="Arial"/>
          <w:sz w:val="24"/>
          <w:szCs w:val="24"/>
          <w:lang w:val="es-ES" w:eastAsia="es-ES"/>
        </w:rPr>
      </w:pPr>
    </w:p>
    <w:p w:rsidR="00F31471" w:rsidRPr="00F31471" w:rsidRDefault="00F31471" w:rsidP="00BF4538">
      <w:pPr>
        <w:spacing w:after="0" w:line="360" w:lineRule="auto"/>
        <w:jc w:val="both"/>
        <w:rPr>
          <w:rFonts w:ascii="Arial" w:eastAsia="Times New Roman" w:hAnsi="Arial" w:cs="Arial"/>
          <w:sz w:val="24"/>
          <w:szCs w:val="24"/>
          <w:vertAlign w:val="superscript"/>
          <w:lang w:val="es-ES"/>
        </w:rPr>
      </w:pPr>
      <w:r w:rsidRPr="00F31471">
        <w:rPr>
          <w:rFonts w:ascii="Arial" w:eastAsia="Times New Roman" w:hAnsi="Arial" w:cs="Arial"/>
          <w:sz w:val="24"/>
          <w:szCs w:val="24"/>
          <w:lang w:val="es-ES" w:eastAsia="es-ES"/>
        </w:rPr>
        <w:t xml:space="preserve">Desde que se inició el programa de tratamiento con Heberprot-P en el 2007, </w:t>
      </w:r>
      <w:r w:rsidRPr="00F31471">
        <w:rPr>
          <w:rFonts w:ascii="Arial" w:eastAsia="Times New Roman" w:hAnsi="Arial" w:cs="Arial"/>
          <w:sz w:val="24"/>
          <w:szCs w:val="24"/>
          <w:lang w:val="es-ES"/>
        </w:rPr>
        <w:t>se han realizado múltiples estudios de farmacovigilancia y seguimiento de los casos, demostrando la seguridad del medicamento y su impacto en la disminución de las amputaciones mayores y en la sobrevida con calidad de los pacientes.</w:t>
      </w:r>
    </w:p>
    <w:p w:rsidR="00F31471" w:rsidRPr="00F31471" w:rsidRDefault="00F31471" w:rsidP="00BF4538">
      <w:pPr>
        <w:spacing w:after="0" w:line="360" w:lineRule="auto"/>
        <w:jc w:val="both"/>
        <w:rPr>
          <w:rFonts w:ascii="Arial" w:eastAsia="Times New Roman" w:hAnsi="Arial" w:cs="Arial"/>
          <w:sz w:val="24"/>
          <w:szCs w:val="24"/>
          <w:lang w:val="es-ES"/>
        </w:rPr>
      </w:pPr>
    </w:p>
    <w:p w:rsidR="00F31471" w:rsidRPr="00F31471" w:rsidRDefault="00F31471" w:rsidP="00BF4538">
      <w:pPr>
        <w:spacing w:after="0" w:line="360" w:lineRule="auto"/>
        <w:jc w:val="both"/>
        <w:rPr>
          <w:rFonts w:ascii="Arial" w:eastAsia="Times New Roman" w:hAnsi="Arial" w:cs="Arial"/>
          <w:sz w:val="24"/>
          <w:szCs w:val="24"/>
          <w:lang w:val="es-ES"/>
        </w:rPr>
      </w:pPr>
      <w:r w:rsidRPr="00F31471">
        <w:rPr>
          <w:rFonts w:ascii="Arial" w:eastAsia="Times New Roman" w:hAnsi="Arial" w:cs="Arial"/>
          <w:sz w:val="24"/>
          <w:szCs w:val="24"/>
          <w:lang w:val="es-ES"/>
        </w:rPr>
        <w:t>En Sancti-Spíritus se están realizando estudios de seguimiento de la evolución clínica, y calidad de vida del total de casos atendidos en diferentes Áreas de Salud, como parte de un proyecto ramal, que permitió evaluar la respuesta a mediano plazo de la aplicación del medicamento.</w:t>
      </w:r>
      <w:r w:rsidRPr="00F31471">
        <w:rPr>
          <w:rFonts w:ascii="Arial" w:eastAsia="Times New Roman" w:hAnsi="Arial" w:cs="Arial"/>
          <w:sz w:val="24"/>
          <w:szCs w:val="24"/>
          <w:vertAlign w:val="superscript"/>
          <w:lang w:val="es-ES"/>
        </w:rPr>
        <w:t>9</w:t>
      </w:r>
    </w:p>
    <w:p w:rsidR="00F31471" w:rsidRPr="00F31471" w:rsidRDefault="00F31471" w:rsidP="00BF4538">
      <w:pPr>
        <w:spacing w:after="0" w:line="360" w:lineRule="auto"/>
        <w:jc w:val="both"/>
        <w:rPr>
          <w:rFonts w:ascii="Arial" w:eastAsia="Times New Roman" w:hAnsi="Arial" w:cs="Arial"/>
          <w:sz w:val="24"/>
          <w:szCs w:val="24"/>
          <w:lang w:val="es-ES"/>
        </w:rPr>
      </w:pPr>
    </w:p>
    <w:p w:rsidR="00F31471" w:rsidRPr="00F31471" w:rsidRDefault="00F31471" w:rsidP="00BF4538">
      <w:pPr>
        <w:spacing w:after="0" w:line="360" w:lineRule="auto"/>
        <w:jc w:val="both"/>
        <w:rPr>
          <w:rFonts w:ascii="Arial" w:eastAsia="Times New Roman" w:hAnsi="Arial" w:cs="Arial"/>
          <w:sz w:val="24"/>
          <w:szCs w:val="24"/>
          <w:lang w:val="es-ES"/>
        </w:rPr>
      </w:pPr>
      <w:r w:rsidRPr="00F31471">
        <w:rPr>
          <w:rFonts w:ascii="Arial" w:eastAsia="Times New Roman" w:hAnsi="Arial" w:cs="Arial"/>
          <w:sz w:val="24"/>
          <w:szCs w:val="24"/>
          <w:lang w:val="es-ES"/>
        </w:rPr>
        <w:t>Sin embargo en el municipio de Fomento no existe hasta la fecha ningún estudio de seguimiento de la evolución clínica y calidad de vida de los casos atendidos en nuestra área de salud. Esto motiva y hace necesaria la realización de esta investigación.</w:t>
      </w:r>
    </w:p>
    <w:p w:rsidR="00F31471" w:rsidRPr="00F31471" w:rsidRDefault="00F31471" w:rsidP="00BF4538">
      <w:pPr>
        <w:spacing w:after="0" w:line="360" w:lineRule="auto"/>
        <w:jc w:val="both"/>
        <w:rPr>
          <w:rFonts w:ascii="Arial" w:eastAsia="Times New Roman" w:hAnsi="Arial" w:cs="Arial"/>
          <w:sz w:val="24"/>
          <w:szCs w:val="24"/>
          <w:lang w:val="es-ES"/>
        </w:rPr>
      </w:pPr>
    </w:p>
    <w:p w:rsidR="00F31471" w:rsidRPr="00F31471" w:rsidRDefault="00F31471" w:rsidP="00BF4538">
      <w:pPr>
        <w:spacing w:after="0" w:line="360" w:lineRule="auto"/>
        <w:jc w:val="both"/>
        <w:rPr>
          <w:rFonts w:ascii="Arial" w:eastAsia="Times New Roman" w:hAnsi="Arial" w:cs="Arial"/>
          <w:sz w:val="24"/>
          <w:szCs w:val="24"/>
          <w:lang w:val="es-ES"/>
        </w:rPr>
      </w:pPr>
      <w:r w:rsidRPr="00F31471">
        <w:rPr>
          <w:rFonts w:ascii="Arial" w:eastAsia="Times New Roman" w:hAnsi="Arial" w:cs="Arial"/>
          <w:b/>
          <w:sz w:val="24"/>
          <w:szCs w:val="24"/>
          <w:lang w:val="es-ES"/>
        </w:rPr>
        <w:t>Problema Científico:</w:t>
      </w:r>
      <w:r w:rsidRPr="00F31471">
        <w:rPr>
          <w:rFonts w:ascii="Arial" w:eastAsia="Times New Roman" w:hAnsi="Arial" w:cs="Arial"/>
          <w:sz w:val="24"/>
          <w:szCs w:val="24"/>
          <w:lang w:val="es-ES"/>
        </w:rPr>
        <w:t xml:space="preserve"> ¿Cuál es la evolución clínica y calidad de vida de los pacientes tratados con Heberprot-P en el Policlínico Miguel Montesino Rodríguez, municipio Fomento, en el período comprendido entre el 2018 y el 2020?</w:t>
      </w:r>
    </w:p>
    <w:p w:rsidR="00F31471" w:rsidRPr="00F31471" w:rsidRDefault="00F31471" w:rsidP="00BF4538">
      <w:pPr>
        <w:spacing w:after="0" w:line="360" w:lineRule="auto"/>
        <w:jc w:val="both"/>
        <w:rPr>
          <w:rFonts w:ascii="Arial" w:eastAsia="Times New Roman" w:hAnsi="Arial" w:cs="Arial"/>
          <w:b/>
          <w:sz w:val="24"/>
          <w:szCs w:val="24"/>
          <w:lang w:val="es-ES"/>
        </w:rPr>
      </w:pPr>
    </w:p>
    <w:p w:rsidR="00F31471" w:rsidRPr="00F31471" w:rsidRDefault="00F31471" w:rsidP="00BF4538">
      <w:pPr>
        <w:spacing w:after="0" w:line="360" w:lineRule="auto"/>
        <w:jc w:val="both"/>
        <w:rPr>
          <w:rFonts w:ascii="Arial" w:eastAsia="Times New Roman" w:hAnsi="Arial" w:cs="Arial"/>
          <w:sz w:val="24"/>
          <w:szCs w:val="24"/>
          <w:lang w:val="es-ES"/>
        </w:rPr>
      </w:pPr>
      <w:r w:rsidRPr="00F31471">
        <w:rPr>
          <w:rFonts w:ascii="Arial" w:eastAsia="Times New Roman" w:hAnsi="Arial" w:cs="Arial"/>
          <w:b/>
          <w:sz w:val="24"/>
          <w:szCs w:val="24"/>
          <w:lang w:val="es-ES"/>
        </w:rPr>
        <w:t xml:space="preserve">Objetivo General: </w:t>
      </w:r>
      <w:r w:rsidRPr="00F31471">
        <w:rPr>
          <w:rFonts w:ascii="Arial" w:eastAsia="Times New Roman" w:hAnsi="Arial" w:cs="Arial"/>
          <w:sz w:val="24"/>
          <w:szCs w:val="24"/>
          <w:lang w:val="es-ES"/>
        </w:rPr>
        <w:t>Describir la evolución clínica y calidad de vida de los pacientes tratados con Heberprot-P en el Policlínico Miguel Montesino Rodríguez, municipio Fomento, en el período de estudio.</w:t>
      </w:r>
    </w:p>
    <w:p w:rsidR="00F31471" w:rsidRPr="00F31471" w:rsidRDefault="00F31471" w:rsidP="00BF4538">
      <w:pPr>
        <w:spacing w:after="0" w:line="360" w:lineRule="auto"/>
        <w:jc w:val="both"/>
        <w:rPr>
          <w:rFonts w:ascii="Arial" w:eastAsia="Times New Roman" w:hAnsi="Arial" w:cs="Arial"/>
          <w:b/>
          <w:sz w:val="24"/>
          <w:szCs w:val="24"/>
          <w:lang w:val="es-ES"/>
        </w:rPr>
      </w:pPr>
    </w:p>
    <w:p w:rsidR="00F31471" w:rsidRPr="00F31471" w:rsidRDefault="00F31471" w:rsidP="00BF4538">
      <w:pPr>
        <w:spacing w:after="0" w:line="360" w:lineRule="auto"/>
        <w:jc w:val="both"/>
        <w:rPr>
          <w:rFonts w:ascii="Arial" w:eastAsia="Times New Roman" w:hAnsi="Arial" w:cs="Arial"/>
          <w:b/>
          <w:sz w:val="24"/>
          <w:szCs w:val="24"/>
          <w:lang w:val="es-ES"/>
        </w:rPr>
      </w:pPr>
      <w:r w:rsidRPr="00F31471">
        <w:rPr>
          <w:rFonts w:ascii="Arial" w:eastAsia="Times New Roman" w:hAnsi="Arial" w:cs="Arial"/>
          <w:b/>
          <w:sz w:val="24"/>
          <w:szCs w:val="24"/>
          <w:lang w:val="es-ES"/>
        </w:rPr>
        <w:lastRenderedPageBreak/>
        <w:t>Objetivos específicos:</w:t>
      </w:r>
    </w:p>
    <w:p w:rsidR="00F31471" w:rsidRPr="00F31471" w:rsidRDefault="00F31471" w:rsidP="00BF4538">
      <w:pPr>
        <w:widowControl w:val="0"/>
        <w:numPr>
          <w:ilvl w:val="0"/>
          <w:numId w:val="1"/>
        </w:numPr>
        <w:spacing w:after="0" w:line="360" w:lineRule="auto"/>
        <w:jc w:val="both"/>
        <w:rPr>
          <w:rFonts w:ascii="Arial" w:eastAsia="Times New Roman" w:hAnsi="Arial" w:cs="Arial"/>
          <w:sz w:val="24"/>
          <w:szCs w:val="24"/>
          <w:lang w:val="es-ES"/>
        </w:rPr>
      </w:pPr>
      <w:r w:rsidRPr="00F31471">
        <w:rPr>
          <w:rFonts w:ascii="Arial" w:eastAsia="Times New Roman" w:hAnsi="Arial" w:cs="Arial"/>
          <w:sz w:val="24"/>
          <w:szCs w:val="24"/>
          <w:lang w:val="es-ES"/>
        </w:rPr>
        <w:t>Describir las variables sociodemográficas y clínicas de la serie de casos estudiados.</w:t>
      </w:r>
    </w:p>
    <w:p w:rsidR="00F31471" w:rsidRPr="00F31471" w:rsidRDefault="00F31471" w:rsidP="00BF4538">
      <w:pPr>
        <w:widowControl w:val="0"/>
        <w:numPr>
          <w:ilvl w:val="0"/>
          <w:numId w:val="1"/>
        </w:numPr>
        <w:spacing w:after="0" w:line="360" w:lineRule="auto"/>
        <w:jc w:val="both"/>
        <w:rPr>
          <w:rFonts w:ascii="Arial" w:eastAsia="Times New Roman" w:hAnsi="Arial" w:cs="Arial"/>
          <w:sz w:val="24"/>
          <w:szCs w:val="24"/>
          <w:lang w:val="es-ES"/>
        </w:rPr>
      </w:pPr>
      <w:r w:rsidRPr="00F31471">
        <w:rPr>
          <w:rFonts w:ascii="Arial" w:eastAsia="Times New Roman" w:hAnsi="Arial" w:cs="Arial"/>
          <w:sz w:val="24"/>
          <w:szCs w:val="24"/>
          <w:lang w:val="es-ES"/>
        </w:rPr>
        <w:t xml:space="preserve">Caracterizar la evolución clínica atendiendo a las posibles recidivas y complicaciones. </w:t>
      </w:r>
    </w:p>
    <w:p w:rsidR="00F31471" w:rsidRPr="00F31471" w:rsidRDefault="00F31471" w:rsidP="00BF4538">
      <w:pPr>
        <w:widowControl w:val="0"/>
        <w:numPr>
          <w:ilvl w:val="0"/>
          <w:numId w:val="1"/>
        </w:numPr>
        <w:spacing w:after="0" w:line="360" w:lineRule="auto"/>
        <w:jc w:val="both"/>
        <w:rPr>
          <w:rFonts w:ascii="Arial" w:eastAsia="Times New Roman" w:hAnsi="Arial" w:cs="Arial"/>
          <w:sz w:val="24"/>
          <w:szCs w:val="24"/>
          <w:lang w:val="es-ES"/>
        </w:rPr>
      </w:pPr>
      <w:r w:rsidRPr="00F31471">
        <w:rPr>
          <w:rFonts w:ascii="Arial" w:eastAsia="Times New Roman" w:hAnsi="Arial" w:cs="Arial"/>
          <w:sz w:val="24"/>
          <w:szCs w:val="24"/>
          <w:lang w:val="es-ES"/>
        </w:rPr>
        <w:t>Evaluar la calidad de vida relacionada con el problema de salud de estos pacientes.</w:t>
      </w:r>
    </w:p>
    <w:p w:rsidR="00F31471" w:rsidRPr="00BF4538" w:rsidRDefault="00F31471" w:rsidP="00BF4538">
      <w:pPr>
        <w:spacing w:after="0" w:line="360" w:lineRule="auto"/>
        <w:jc w:val="both"/>
        <w:rPr>
          <w:rFonts w:ascii="Arial" w:eastAsia="Times New Roman" w:hAnsi="Arial" w:cs="Arial"/>
          <w:sz w:val="24"/>
          <w:szCs w:val="24"/>
          <w:lang w:eastAsia="es-ES"/>
        </w:rPr>
      </w:pPr>
    </w:p>
    <w:p w:rsidR="00F31471" w:rsidRPr="00F31471" w:rsidRDefault="00F31471" w:rsidP="00BF4538">
      <w:pPr>
        <w:spacing w:after="0" w:line="360" w:lineRule="auto"/>
        <w:jc w:val="both"/>
        <w:rPr>
          <w:rFonts w:ascii="Arial" w:eastAsia="Times New Roman" w:hAnsi="Arial" w:cs="Arial"/>
          <w:b/>
          <w:sz w:val="24"/>
          <w:szCs w:val="24"/>
          <w:lang w:val="es-ES"/>
        </w:rPr>
      </w:pPr>
      <w:r w:rsidRPr="00F31471">
        <w:rPr>
          <w:rFonts w:ascii="Arial" w:eastAsia="Times New Roman" w:hAnsi="Arial" w:cs="Arial"/>
          <w:b/>
          <w:sz w:val="24"/>
          <w:szCs w:val="24"/>
          <w:lang w:val="es-ES"/>
        </w:rPr>
        <w:t>Métodos</w:t>
      </w:r>
    </w:p>
    <w:p w:rsidR="00F31471" w:rsidRPr="00F31471" w:rsidRDefault="00F31471" w:rsidP="00BF4538">
      <w:pPr>
        <w:spacing w:after="0" w:line="360" w:lineRule="auto"/>
        <w:jc w:val="both"/>
        <w:rPr>
          <w:rFonts w:ascii="Arial" w:eastAsia="Times New Roman" w:hAnsi="Arial" w:cs="Arial"/>
          <w:b/>
          <w:sz w:val="24"/>
          <w:szCs w:val="24"/>
          <w:lang w:val="es-ES"/>
        </w:rPr>
      </w:pPr>
      <w:r w:rsidRPr="00F31471">
        <w:rPr>
          <w:rFonts w:ascii="Arial" w:eastAsia="Times New Roman" w:hAnsi="Arial" w:cs="Arial"/>
          <w:b/>
          <w:sz w:val="24"/>
          <w:szCs w:val="24"/>
          <w:lang w:val="es-ES"/>
        </w:rPr>
        <w:t>Del nivel teórico:</w:t>
      </w:r>
    </w:p>
    <w:p w:rsidR="00F31471" w:rsidRPr="00F31471" w:rsidRDefault="00F31471" w:rsidP="00BF4538">
      <w:pPr>
        <w:spacing w:after="0" w:line="360" w:lineRule="auto"/>
        <w:jc w:val="both"/>
        <w:rPr>
          <w:rFonts w:ascii="Arial" w:eastAsia="Times New Roman" w:hAnsi="Arial" w:cs="Arial"/>
          <w:sz w:val="24"/>
          <w:szCs w:val="24"/>
          <w:lang w:val="es-ES"/>
        </w:rPr>
      </w:pPr>
      <w:r w:rsidRPr="00F31471">
        <w:rPr>
          <w:rFonts w:ascii="Arial" w:eastAsia="Times New Roman" w:hAnsi="Arial" w:cs="Arial"/>
          <w:sz w:val="24"/>
          <w:szCs w:val="24"/>
          <w:lang w:val="es-ES"/>
        </w:rPr>
        <w:t>Analítico – sintético: Se analizó la evolución clínica y calidad de vida de los pacientes tratados con Heberprot-P en Fomento, en el período de estudio.</w:t>
      </w:r>
    </w:p>
    <w:p w:rsidR="00F31471" w:rsidRPr="00F31471" w:rsidRDefault="00F31471" w:rsidP="00BF4538">
      <w:pPr>
        <w:spacing w:after="0" w:line="360" w:lineRule="auto"/>
        <w:jc w:val="both"/>
        <w:rPr>
          <w:rFonts w:ascii="Arial" w:eastAsia="Times New Roman" w:hAnsi="Arial" w:cs="Arial"/>
          <w:sz w:val="24"/>
          <w:szCs w:val="24"/>
          <w:lang w:val="es-ES"/>
        </w:rPr>
      </w:pPr>
      <w:r w:rsidRPr="00F31471">
        <w:rPr>
          <w:rFonts w:ascii="Arial" w:eastAsia="Calibri" w:hAnsi="Arial" w:cs="Arial"/>
          <w:sz w:val="24"/>
          <w:szCs w:val="24"/>
          <w:lang w:val="es-ES"/>
        </w:rPr>
        <w:t xml:space="preserve">Histórico - lógico: Permitió el estudio de los antecedentes </w:t>
      </w:r>
      <w:r w:rsidRPr="00F31471">
        <w:rPr>
          <w:rFonts w:ascii="Arial" w:eastAsia="Times New Roman" w:hAnsi="Arial" w:cs="Arial"/>
          <w:sz w:val="24"/>
          <w:szCs w:val="24"/>
          <w:lang w:val="es-ES"/>
        </w:rPr>
        <w:t>sobre el uso del Heberprot-P en pacientes con UPD y su eficacia en la resolución de las mismas,</w:t>
      </w:r>
      <w:r w:rsidRPr="00F31471">
        <w:rPr>
          <w:rFonts w:ascii="Arial" w:eastAsia="Calibri" w:hAnsi="Arial" w:cs="Arial"/>
          <w:sz w:val="24"/>
          <w:szCs w:val="24"/>
          <w:lang w:val="es-ES"/>
        </w:rPr>
        <w:t xml:space="preserve"> de la investigación en su devenir histórico.</w:t>
      </w:r>
    </w:p>
    <w:p w:rsidR="00F31471" w:rsidRPr="00F31471" w:rsidRDefault="00F31471" w:rsidP="00BF4538">
      <w:pPr>
        <w:spacing w:after="0" w:line="360" w:lineRule="auto"/>
        <w:jc w:val="both"/>
        <w:rPr>
          <w:rFonts w:ascii="Arial" w:eastAsia="Times New Roman" w:hAnsi="Arial" w:cs="Arial"/>
          <w:b/>
          <w:sz w:val="24"/>
          <w:szCs w:val="24"/>
          <w:lang w:val="es-ES"/>
        </w:rPr>
      </w:pPr>
      <w:r w:rsidRPr="00F31471">
        <w:rPr>
          <w:rFonts w:ascii="Arial" w:eastAsia="Times New Roman" w:hAnsi="Arial" w:cs="Arial"/>
          <w:b/>
          <w:sz w:val="24"/>
          <w:szCs w:val="24"/>
          <w:lang w:val="es-ES"/>
        </w:rPr>
        <w:t>Del nivel empírico – experimental:</w:t>
      </w:r>
    </w:p>
    <w:p w:rsidR="00F31471" w:rsidRPr="00BF4538" w:rsidRDefault="00F31471" w:rsidP="00BF4538">
      <w:pPr>
        <w:spacing w:after="0" w:line="360" w:lineRule="auto"/>
        <w:jc w:val="both"/>
        <w:rPr>
          <w:rFonts w:ascii="Arial" w:eastAsia="Times New Roman" w:hAnsi="Arial" w:cs="Arial"/>
          <w:sz w:val="24"/>
          <w:szCs w:val="24"/>
          <w:lang w:val="es-ES"/>
        </w:rPr>
      </w:pPr>
      <w:r w:rsidRPr="00F31471">
        <w:rPr>
          <w:rFonts w:ascii="Arial" w:eastAsia="Times New Roman" w:hAnsi="Arial" w:cs="Arial"/>
          <w:sz w:val="24"/>
          <w:szCs w:val="24"/>
          <w:lang w:val="es-ES"/>
        </w:rPr>
        <w:t xml:space="preserve">La observación: se realizó el examen clínico para determinar la evolución clínica y calidad de vida de los pacientes en estudio. Se incluirá un modelo de recogida de datos para extraer información relacionada con la evolución clínica y calidad de vida de los pacientes en estudio, en este caso, es la guía de revisión </w:t>
      </w:r>
      <w:r w:rsidR="00BF4538" w:rsidRPr="00BF4538">
        <w:rPr>
          <w:rFonts w:ascii="Arial" w:eastAsia="Times New Roman" w:hAnsi="Arial" w:cs="Arial"/>
          <w:sz w:val="24"/>
          <w:szCs w:val="24"/>
          <w:lang w:val="es-ES"/>
        </w:rPr>
        <w:t>documental.</w:t>
      </w:r>
    </w:p>
    <w:p w:rsidR="00F31471" w:rsidRPr="00F31471" w:rsidRDefault="00F31471" w:rsidP="00BF4538">
      <w:pPr>
        <w:spacing w:after="0" w:line="360" w:lineRule="auto"/>
        <w:jc w:val="both"/>
        <w:rPr>
          <w:rFonts w:ascii="Arial" w:eastAsia="Times New Roman" w:hAnsi="Arial" w:cs="Arial"/>
          <w:sz w:val="24"/>
          <w:szCs w:val="24"/>
          <w:lang w:val="es-ES"/>
        </w:rPr>
      </w:pPr>
      <w:r w:rsidRPr="00F31471">
        <w:rPr>
          <w:rFonts w:ascii="Arial" w:eastAsia="Times New Roman" w:hAnsi="Arial" w:cs="Arial"/>
          <w:sz w:val="24"/>
          <w:szCs w:val="24"/>
          <w:lang w:val="es-ES"/>
        </w:rPr>
        <w:t>Cuestionario: Para medir la calidad de vida de los paciente con úlcera del pie diabético y uso del Heberprot-P relacionada con la salud.</w:t>
      </w:r>
    </w:p>
    <w:p w:rsidR="00F31471" w:rsidRPr="00F31471" w:rsidRDefault="00F31471" w:rsidP="00BF4538">
      <w:pPr>
        <w:spacing w:after="0" w:line="360" w:lineRule="auto"/>
        <w:jc w:val="both"/>
        <w:rPr>
          <w:rFonts w:ascii="Arial" w:eastAsia="Times New Roman" w:hAnsi="Arial" w:cs="Arial"/>
          <w:sz w:val="24"/>
          <w:szCs w:val="24"/>
          <w:lang w:val="es-ES"/>
        </w:rPr>
      </w:pPr>
      <w:r w:rsidRPr="00F31471">
        <w:rPr>
          <w:rFonts w:ascii="Arial" w:eastAsia="Times New Roman" w:hAnsi="Arial" w:cs="Arial"/>
          <w:b/>
          <w:sz w:val="24"/>
          <w:szCs w:val="24"/>
          <w:lang w:val="es-ES"/>
        </w:rPr>
        <w:t>Del nivel matemático-estadístico</w:t>
      </w:r>
      <w:r w:rsidRPr="00F31471">
        <w:rPr>
          <w:rFonts w:ascii="Arial" w:eastAsia="Times New Roman" w:hAnsi="Arial" w:cs="Arial"/>
          <w:sz w:val="24"/>
          <w:szCs w:val="24"/>
          <w:lang w:val="es-ES"/>
        </w:rPr>
        <w:t>:</w:t>
      </w:r>
    </w:p>
    <w:p w:rsidR="00F31471" w:rsidRPr="00BF4538" w:rsidRDefault="00F31471" w:rsidP="00BF4538">
      <w:pPr>
        <w:spacing w:after="0" w:line="360" w:lineRule="auto"/>
        <w:jc w:val="both"/>
        <w:rPr>
          <w:rFonts w:ascii="Arial" w:eastAsia="Times New Roman" w:hAnsi="Arial" w:cs="Arial"/>
          <w:sz w:val="24"/>
          <w:szCs w:val="24"/>
          <w:lang w:val="es-ES"/>
        </w:rPr>
      </w:pPr>
      <w:r w:rsidRPr="00F31471">
        <w:rPr>
          <w:rFonts w:ascii="Arial" w:eastAsia="Times New Roman" w:hAnsi="Arial" w:cs="Arial"/>
          <w:sz w:val="24"/>
          <w:szCs w:val="24"/>
          <w:lang w:val="es-ES"/>
        </w:rPr>
        <w:t>Análisis de las distribuciones de frecuencia absoluta de las principales variables sociodemográficas, clínicas y evolución clínica de la serie de casos estudiados.</w:t>
      </w:r>
    </w:p>
    <w:p w:rsidR="00A640C5" w:rsidRDefault="00A640C5" w:rsidP="00BF4538">
      <w:pPr>
        <w:spacing w:after="0" w:line="360" w:lineRule="auto"/>
        <w:jc w:val="both"/>
        <w:rPr>
          <w:rFonts w:ascii="Arial" w:eastAsia="Times New Roman" w:hAnsi="Arial" w:cs="Arial"/>
          <w:b/>
          <w:sz w:val="24"/>
          <w:szCs w:val="24"/>
          <w:lang w:val="es-ES"/>
        </w:rPr>
      </w:pP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b/>
          <w:sz w:val="24"/>
          <w:szCs w:val="24"/>
          <w:lang w:val="es-ES"/>
        </w:rPr>
        <w:t>Aspecto General</w:t>
      </w:r>
      <w:r w:rsidRPr="00BF4538">
        <w:rPr>
          <w:rFonts w:ascii="Arial" w:eastAsia="Times New Roman" w:hAnsi="Arial" w:cs="Arial"/>
          <w:sz w:val="24"/>
          <w:szCs w:val="24"/>
          <w:lang w:val="es-ES"/>
        </w:rPr>
        <w:t xml:space="preserve">: Se realizó un estudio de tipo observacional, descriptivo y retrospectivo para describir la evolución clínica y la calidad de vida de los pacientes tratados con Heberprot-P en el Policlínico Miguel Montesino Rodríguez, municipio Fomento, en el período comprendido de enero de 2018 a diciembre de 2020. </w:t>
      </w:r>
    </w:p>
    <w:p w:rsidR="00BF4538" w:rsidRPr="00BF4538" w:rsidRDefault="00BF4538" w:rsidP="00BF4538">
      <w:pPr>
        <w:spacing w:after="0" w:line="360" w:lineRule="auto"/>
        <w:jc w:val="both"/>
        <w:rPr>
          <w:rFonts w:ascii="Arial" w:eastAsia="Times New Roman" w:hAnsi="Arial" w:cs="Arial"/>
          <w:sz w:val="24"/>
          <w:szCs w:val="24"/>
          <w:lang w:val="es-ES"/>
        </w:rPr>
      </w:pP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b/>
          <w:sz w:val="24"/>
          <w:szCs w:val="24"/>
          <w:lang w:val="es-ES"/>
        </w:rPr>
        <w:lastRenderedPageBreak/>
        <w:t>Población del estudio</w:t>
      </w:r>
      <w:r w:rsidRPr="00BF4538">
        <w:rPr>
          <w:rFonts w:ascii="Arial" w:eastAsia="Times New Roman" w:hAnsi="Arial" w:cs="Arial"/>
          <w:sz w:val="24"/>
          <w:szCs w:val="24"/>
          <w:lang w:val="es-ES"/>
        </w:rPr>
        <w:t xml:space="preserve">: Estuvo conformada por 92 pacientes con úlcera del pie diabético tratados con Heberprot-P en el lugar y períodos previamente definidos independientemente de su edad o estadío clínico. Se aclara que el período de inclusión será solamente hasta el 31 de diciembre de 2020 dado que prospectivamente debe acumularse al menos un año de seguimiento para poder evaluar los últimos casos incluidos. </w:t>
      </w:r>
    </w:p>
    <w:p w:rsidR="00BF4538" w:rsidRPr="00BF4538" w:rsidRDefault="00BF4538" w:rsidP="00BF4538">
      <w:pPr>
        <w:spacing w:after="0" w:line="360" w:lineRule="auto"/>
        <w:jc w:val="both"/>
        <w:rPr>
          <w:rFonts w:ascii="Arial" w:eastAsia="Times New Roman" w:hAnsi="Arial" w:cs="Arial"/>
          <w:sz w:val="24"/>
          <w:szCs w:val="24"/>
          <w:lang w:val="es-ES"/>
        </w:rPr>
      </w:pP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Serie de casos: De la población de estudio previamente definida se determinarán los casos a incluir según los criterios de elegibilidad siguientes: </w:t>
      </w:r>
    </w:p>
    <w:p w:rsidR="00BF4538" w:rsidRPr="00BF4538" w:rsidRDefault="00BF4538" w:rsidP="00BF4538">
      <w:pPr>
        <w:spacing w:after="0" w:line="360" w:lineRule="auto"/>
        <w:jc w:val="both"/>
        <w:rPr>
          <w:rFonts w:ascii="Arial" w:eastAsia="Times New Roman" w:hAnsi="Arial" w:cs="Arial"/>
          <w:b/>
          <w:sz w:val="24"/>
          <w:szCs w:val="24"/>
          <w:lang w:val="es-ES"/>
        </w:rPr>
      </w:pP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b/>
          <w:sz w:val="24"/>
          <w:szCs w:val="24"/>
          <w:lang w:val="es-ES"/>
        </w:rPr>
        <w:t>Criterios de Inclusión</w:t>
      </w:r>
      <w:r w:rsidRPr="00BF4538">
        <w:rPr>
          <w:rFonts w:ascii="Arial" w:eastAsia="Times New Roman" w:hAnsi="Arial" w:cs="Arial"/>
          <w:sz w:val="24"/>
          <w:szCs w:val="24"/>
          <w:lang w:val="es-ES"/>
        </w:rPr>
        <w:t>:</w:t>
      </w:r>
    </w:p>
    <w:p w:rsidR="00BF4538" w:rsidRPr="00BF4538" w:rsidRDefault="00BF4538" w:rsidP="00BF4538">
      <w:pPr>
        <w:widowControl w:val="0"/>
        <w:numPr>
          <w:ilvl w:val="0"/>
          <w:numId w:val="2"/>
        </w:numPr>
        <w:spacing w:after="0" w:line="360" w:lineRule="auto"/>
        <w:jc w:val="both"/>
        <w:rPr>
          <w:rFonts w:ascii="Arial" w:eastAsia="Times New Roman" w:hAnsi="Arial" w:cs="Arial"/>
          <w:sz w:val="24"/>
          <w:szCs w:val="24"/>
          <w:lang w:val="pt-BR"/>
        </w:rPr>
      </w:pPr>
      <w:r w:rsidRPr="00BF4538">
        <w:rPr>
          <w:rFonts w:ascii="Arial" w:eastAsia="Times New Roman" w:hAnsi="Arial" w:cs="Arial"/>
          <w:sz w:val="24"/>
          <w:szCs w:val="24"/>
          <w:lang w:val="es-ES"/>
        </w:rPr>
        <w:t>Residencia</w:t>
      </w:r>
      <w:r w:rsidRPr="00BF4538">
        <w:rPr>
          <w:rFonts w:ascii="Arial" w:eastAsia="Times New Roman" w:hAnsi="Arial" w:cs="Arial"/>
          <w:sz w:val="24"/>
          <w:szCs w:val="24"/>
          <w:lang w:val="pt-BR"/>
        </w:rPr>
        <w:t xml:space="preserve"> permanente en el área de salud del Policlínico Miguel Montesino Rodríguez del </w:t>
      </w:r>
      <w:r w:rsidRPr="00BF4538">
        <w:rPr>
          <w:rFonts w:ascii="Arial" w:eastAsia="Times New Roman" w:hAnsi="Arial" w:cs="Arial"/>
          <w:sz w:val="24"/>
          <w:szCs w:val="24"/>
          <w:lang w:val="es-ES"/>
        </w:rPr>
        <w:t>municipio Fomento</w:t>
      </w:r>
      <w:r w:rsidRPr="00BF4538">
        <w:rPr>
          <w:rFonts w:ascii="Arial" w:eastAsia="Times New Roman" w:hAnsi="Arial" w:cs="Arial"/>
          <w:sz w:val="24"/>
          <w:szCs w:val="24"/>
          <w:lang w:val="pt-BR"/>
        </w:rPr>
        <w:t>.</w:t>
      </w:r>
    </w:p>
    <w:p w:rsidR="00BF4538" w:rsidRPr="00BF4538" w:rsidRDefault="00BF4538" w:rsidP="00BF4538">
      <w:pPr>
        <w:widowControl w:val="0"/>
        <w:numPr>
          <w:ilvl w:val="0"/>
          <w:numId w:val="2"/>
        </w:numPr>
        <w:spacing w:after="0" w:line="360" w:lineRule="auto"/>
        <w:jc w:val="both"/>
        <w:rPr>
          <w:rFonts w:ascii="Arial" w:eastAsia="Times New Roman" w:hAnsi="Arial" w:cs="Arial"/>
          <w:sz w:val="24"/>
          <w:szCs w:val="24"/>
          <w:lang w:val="pt-BR"/>
        </w:rPr>
      </w:pPr>
      <w:r w:rsidRPr="00BF4538">
        <w:rPr>
          <w:rFonts w:ascii="Arial" w:eastAsia="Times New Roman" w:hAnsi="Arial" w:cs="Arial"/>
          <w:sz w:val="24"/>
          <w:szCs w:val="24"/>
          <w:lang w:val="es-ES"/>
        </w:rPr>
        <w:t>Aceptación</w:t>
      </w:r>
      <w:r w:rsidRPr="00BF4538">
        <w:rPr>
          <w:rFonts w:ascii="Arial" w:eastAsia="Times New Roman" w:hAnsi="Arial" w:cs="Arial"/>
          <w:sz w:val="24"/>
          <w:szCs w:val="24"/>
          <w:lang w:val="pt-BR"/>
        </w:rPr>
        <w:t xml:space="preserve"> a participar </w:t>
      </w:r>
      <w:r w:rsidRPr="00BF4538">
        <w:rPr>
          <w:rFonts w:ascii="Arial" w:eastAsia="Times New Roman" w:hAnsi="Arial" w:cs="Arial"/>
          <w:sz w:val="24"/>
          <w:szCs w:val="24"/>
          <w:lang w:val="es-ES"/>
        </w:rPr>
        <w:t xml:space="preserve">en </w:t>
      </w:r>
      <w:r w:rsidRPr="00BF4538">
        <w:rPr>
          <w:rFonts w:ascii="Arial" w:eastAsia="Times New Roman" w:hAnsi="Arial" w:cs="Arial"/>
          <w:sz w:val="24"/>
          <w:szCs w:val="24"/>
          <w:lang w:val="pt-BR"/>
        </w:rPr>
        <w:t xml:space="preserve">la </w:t>
      </w:r>
      <w:r w:rsidRPr="00BF4538">
        <w:rPr>
          <w:rFonts w:ascii="Arial" w:eastAsia="Times New Roman" w:hAnsi="Arial" w:cs="Arial"/>
          <w:sz w:val="24"/>
          <w:szCs w:val="24"/>
          <w:lang w:val="es-ES"/>
        </w:rPr>
        <w:t>investigación</w:t>
      </w:r>
      <w:r w:rsidRPr="00BF4538">
        <w:rPr>
          <w:rFonts w:ascii="Arial" w:eastAsia="Times New Roman" w:hAnsi="Arial" w:cs="Arial"/>
          <w:sz w:val="24"/>
          <w:szCs w:val="24"/>
          <w:lang w:val="pt-BR"/>
        </w:rPr>
        <w:t xml:space="preserve"> mediante la firma de </w:t>
      </w:r>
      <w:r w:rsidRPr="00BF4538">
        <w:rPr>
          <w:rFonts w:ascii="Arial" w:eastAsia="Times New Roman" w:hAnsi="Arial" w:cs="Arial"/>
          <w:sz w:val="24"/>
          <w:szCs w:val="24"/>
          <w:lang w:val="es-ES"/>
        </w:rPr>
        <w:t>un Consentimiento</w:t>
      </w:r>
      <w:r w:rsidRPr="00BF4538">
        <w:rPr>
          <w:rFonts w:ascii="Arial" w:eastAsia="Times New Roman" w:hAnsi="Arial" w:cs="Arial"/>
          <w:sz w:val="24"/>
          <w:szCs w:val="24"/>
          <w:lang w:val="pt-BR"/>
        </w:rPr>
        <w:t xml:space="preserve"> Informado. (Ver Anexo 1)</w:t>
      </w:r>
    </w:p>
    <w:p w:rsidR="00BF4538" w:rsidRPr="00BF4538" w:rsidRDefault="00BF4538" w:rsidP="00BF4538">
      <w:pPr>
        <w:spacing w:after="0" w:line="360" w:lineRule="auto"/>
        <w:jc w:val="both"/>
        <w:rPr>
          <w:rFonts w:ascii="Arial" w:eastAsia="Times New Roman" w:hAnsi="Arial" w:cs="Arial"/>
          <w:b/>
          <w:sz w:val="24"/>
          <w:szCs w:val="24"/>
          <w:lang w:val="pt-BR"/>
        </w:rPr>
      </w:pPr>
    </w:p>
    <w:p w:rsidR="00BF4538" w:rsidRPr="00BF4538" w:rsidRDefault="00BF4538" w:rsidP="00BF4538">
      <w:pPr>
        <w:spacing w:after="0" w:line="360" w:lineRule="auto"/>
        <w:jc w:val="both"/>
        <w:rPr>
          <w:rFonts w:ascii="Arial" w:eastAsia="Times New Roman" w:hAnsi="Arial" w:cs="Arial"/>
          <w:sz w:val="24"/>
          <w:szCs w:val="24"/>
          <w:lang w:val="pt-BR"/>
        </w:rPr>
      </w:pPr>
      <w:r w:rsidRPr="00BF4538">
        <w:rPr>
          <w:rFonts w:ascii="Arial" w:eastAsia="Times New Roman" w:hAnsi="Arial" w:cs="Arial"/>
          <w:b/>
          <w:sz w:val="24"/>
          <w:szCs w:val="24"/>
          <w:lang w:val="pt-BR"/>
        </w:rPr>
        <w:t>Criterios de exclusión</w:t>
      </w:r>
      <w:r w:rsidRPr="00BF4538">
        <w:rPr>
          <w:rFonts w:ascii="Arial" w:eastAsia="Times New Roman" w:hAnsi="Arial" w:cs="Arial"/>
          <w:sz w:val="24"/>
          <w:szCs w:val="24"/>
          <w:lang w:val="pt-BR"/>
        </w:rPr>
        <w:t>:</w:t>
      </w:r>
    </w:p>
    <w:p w:rsidR="00BF4538" w:rsidRPr="00BF4538" w:rsidRDefault="00BF4538" w:rsidP="00BF4538">
      <w:pPr>
        <w:widowControl w:val="0"/>
        <w:numPr>
          <w:ilvl w:val="0"/>
          <w:numId w:val="3"/>
        </w:num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Casos en los que no se tiene información para completar al menos el primer período de estudio (un año).</w:t>
      </w:r>
    </w:p>
    <w:p w:rsidR="00A640C5" w:rsidRDefault="00A640C5" w:rsidP="00A640C5">
      <w:pPr>
        <w:widowControl w:val="0"/>
        <w:spacing w:after="0" w:line="360" w:lineRule="auto"/>
        <w:jc w:val="both"/>
        <w:rPr>
          <w:rFonts w:ascii="Arial" w:eastAsia="Times New Roman" w:hAnsi="Arial" w:cs="Arial"/>
          <w:sz w:val="24"/>
          <w:szCs w:val="24"/>
          <w:lang w:val="es-ES"/>
        </w:rPr>
      </w:pPr>
    </w:p>
    <w:p w:rsidR="00BF4538" w:rsidRPr="00BF4538" w:rsidRDefault="00BF4538" w:rsidP="00A640C5">
      <w:pPr>
        <w:widowControl w:val="0"/>
        <w:spacing w:after="0" w:line="360" w:lineRule="auto"/>
        <w:jc w:val="both"/>
        <w:rPr>
          <w:rFonts w:ascii="Arial" w:eastAsia="Times New Roman" w:hAnsi="Arial" w:cs="Arial"/>
          <w:b/>
          <w:sz w:val="24"/>
          <w:szCs w:val="24"/>
          <w:lang w:val="es-ES" w:eastAsia="es-ES_tradnl"/>
        </w:rPr>
      </w:pPr>
      <w:r w:rsidRPr="00BF4538">
        <w:rPr>
          <w:rFonts w:ascii="Arial" w:eastAsia="Times New Roman" w:hAnsi="Arial" w:cs="Arial"/>
          <w:b/>
          <w:sz w:val="24"/>
          <w:szCs w:val="24"/>
          <w:lang w:val="es-ES" w:eastAsia="es-ES_tradnl"/>
        </w:rPr>
        <w:t>Variables (clasificación y operacionalización).</w:t>
      </w:r>
    </w:p>
    <w:p w:rsidR="00BF4538" w:rsidRPr="00BF4538" w:rsidRDefault="00BF4538" w:rsidP="00BF4538">
      <w:pPr>
        <w:spacing w:after="0" w:line="360" w:lineRule="auto"/>
        <w:jc w:val="both"/>
        <w:rPr>
          <w:rFonts w:ascii="Arial" w:eastAsia="Times New Roman" w:hAnsi="Arial" w:cs="Arial"/>
          <w:sz w:val="24"/>
          <w:szCs w:val="24"/>
          <w:lang w:val="es-ES"/>
        </w:rPr>
      </w:pP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Descripción operacional de las variables.</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2025"/>
        <w:gridCol w:w="1765"/>
        <w:gridCol w:w="36"/>
        <w:gridCol w:w="2168"/>
        <w:gridCol w:w="1570"/>
      </w:tblGrid>
      <w:tr w:rsidR="00BF4538" w:rsidRPr="00BF4538" w:rsidTr="00BF4538">
        <w:trPr>
          <w:trHeight w:val="147"/>
        </w:trPr>
        <w:tc>
          <w:tcPr>
            <w:tcW w:w="1911"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Variable y clasificación</w:t>
            </w:r>
          </w:p>
        </w:tc>
        <w:tc>
          <w:tcPr>
            <w:tcW w:w="2025"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Descripción operacional </w:t>
            </w:r>
          </w:p>
        </w:tc>
        <w:tc>
          <w:tcPr>
            <w:tcW w:w="1765"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Unidad de medida</w:t>
            </w:r>
          </w:p>
        </w:tc>
        <w:tc>
          <w:tcPr>
            <w:tcW w:w="2204" w:type="dxa"/>
            <w:gridSpan w:val="2"/>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Escala </w:t>
            </w:r>
          </w:p>
        </w:tc>
        <w:tc>
          <w:tcPr>
            <w:tcW w:w="1570"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Indicador</w:t>
            </w:r>
          </w:p>
        </w:tc>
      </w:tr>
      <w:tr w:rsidR="00BF4538" w:rsidRPr="00BF4538" w:rsidTr="00BF4538">
        <w:trPr>
          <w:trHeight w:val="147"/>
        </w:trPr>
        <w:tc>
          <w:tcPr>
            <w:tcW w:w="9475" w:type="dxa"/>
            <w:gridSpan w:val="6"/>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Variables Sociodemográficas.</w:t>
            </w:r>
          </w:p>
        </w:tc>
      </w:tr>
      <w:tr w:rsidR="00BF4538" w:rsidRPr="00BF4538" w:rsidTr="00BF4538">
        <w:trPr>
          <w:trHeight w:val="4620"/>
        </w:trPr>
        <w:tc>
          <w:tcPr>
            <w:tcW w:w="1911" w:type="dxa"/>
            <w:tcBorders>
              <w:top w:val="single" w:sz="4" w:space="0" w:color="auto"/>
              <w:left w:val="single" w:sz="4" w:space="0" w:color="auto"/>
              <w:bottom w:val="single" w:sz="4" w:space="0" w:color="auto"/>
              <w:right w:val="single" w:sz="4" w:space="0" w:color="auto"/>
            </w:tcBorders>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lastRenderedPageBreak/>
              <w:t xml:space="preserve">Edad </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Cuantitativa Continua </w:t>
            </w:r>
          </w:p>
          <w:p w:rsidR="00BF4538" w:rsidRPr="00BF4538" w:rsidRDefault="00BF4538" w:rsidP="00BF4538">
            <w:pPr>
              <w:spacing w:after="0" w:line="360" w:lineRule="auto"/>
              <w:jc w:val="both"/>
              <w:rPr>
                <w:rFonts w:ascii="Arial" w:eastAsia="Times New Roman" w:hAnsi="Arial" w:cs="Arial"/>
                <w:sz w:val="24"/>
                <w:szCs w:val="24"/>
                <w:lang w:val="es-ES"/>
              </w:rPr>
            </w:pPr>
          </w:p>
        </w:tc>
        <w:tc>
          <w:tcPr>
            <w:tcW w:w="2025" w:type="dxa"/>
            <w:tcBorders>
              <w:top w:val="single" w:sz="4" w:space="0" w:color="auto"/>
              <w:left w:val="single" w:sz="4" w:space="0" w:color="auto"/>
              <w:bottom w:val="single" w:sz="4" w:space="0" w:color="auto"/>
              <w:right w:val="single" w:sz="4" w:space="0" w:color="auto"/>
            </w:tcBorders>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Se refiere a la edad cronológica de los pacientes según lo consignado en la Historia de Salud Familiar en el momento de incluirse en el programa. </w:t>
            </w:r>
          </w:p>
        </w:tc>
        <w:tc>
          <w:tcPr>
            <w:tcW w:w="1801" w:type="dxa"/>
            <w:gridSpan w:val="2"/>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Número de casos por grupos etarios. </w:t>
            </w:r>
          </w:p>
        </w:tc>
        <w:tc>
          <w:tcPr>
            <w:tcW w:w="2168"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Grupos Etarios </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Menos de 40 años</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De 40 a 50 años</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De 51 a 60 años</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De 61 a 70 años</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De 71 a 80 años</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Más de 80 años</w:t>
            </w:r>
          </w:p>
        </w:tc>
        <w:tc>
          <w:tcPr>
            <w:tcW w:w="1570"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Tasa por 100</w:t>
            </w:r>
          </w:p>
        </w:tc>
      </w:tr>
      <w:tr w:rsidR="00BF4538" w:rsidRPr="00BF4538" w:rsidTr="00BF4538">
        <w:trPr>
          <w:trHeight w:val="147"/>
        </w:trPr>
        <w:tc>
          <w:tcPr>
            <w:tcW w:w="1911"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Sexo </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Cualitativa Dicotómica </w:t>
            </w:r>
          </w:p>
        </w:tc>
        <w:tc>
          <w:tcPr>
            <w:tcW w:w="2025"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Se refiere al sexo del paciente.</w:t>
            </w:r>
          </w:p>
        </w:tc>
        <w:tc>
          <w:tcPr>
            <w:tcW w:w="1801" w:type="dxa"/>
            <w:gridSpan w:val="2"/>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Número de casos por sexo.</w:t>
            </w:r>
          </w:p>
        </w:tc>
        <w:tc>
          <w:tcPr>
            <w:tcW w:w="2168"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Masculino</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Femenino</w:t>
            </w:r>
          </w:p>
        </w:tc>
        <w:tc>
          <w:tcPr>
            <w:tcW w:w="1570"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Tasa por 100</w:t>
            </w:r>
          </w:p>
        </w:tc>
      </w:tr>
      <w:tr w:rsidR="00BF4538" w:rsidRPr="00BF4538" w:rsidTr="00BF4538">
        <w:trPr>
          <w:trHeight w:val="2520"/>
        </w:trPr>
        <w:tc>
          <w:tcPr>
            <w:tcW w:w="1911" w:type="dxa"/>
            <w:tcBorders>
              <w:top w:val="single" w:sz="4" w:space="0" w:color="auto"/>
              <w:left w:val="single" w:sz="4" w:space="0" w:color="auto"/>
              <w:bottom w:val="single" w:sz="4" w:space="0" w:color="auto"/>
              <w:right w:val="single" w:sz="4" w:space="0" w:color="auto"/>
            </w:tcBorders>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Color de la piel</w:t>
            </w:r>
          </w:p>
          <w:p w:rsidR="00BF4538" w:rsidRPr="00BF4538" w:rsidRDefault="00BF4538" w:rsidP="00BF4538">
            <w:pPr>
              <w:spacing w:after="0" w:line="360" w:lineRule="auto"/>
              <w:jc w:val="both"/>
              <w:rPr>
                <w:rFonts w:ascii="Arial" w:eastAsia="Times New Roman" w:hAnsi="Arial" w:cs="Arial"/>
                <w:sz w:val="24"/>
                <w:szCs w:val="24"/>
                <w:lang w:val="es-ES"/>
              </w:rPr>
            </w:pP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Cualitativa Politómica Nominal </w:t>
            </w:r>
          </w:p>
        </w:tc>
        <w:tc>
          <w:tcPr>
            <w:tcW w:w="2025"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Se refiere al color de la piel de los pacientes según lo consignado en la Historia de Salud Individual.</w:t>
            </w:r>
          </w:p>
        </w:tc>
        <w:tc>
          <w:tcPr>
            <w:tcW w:w="1801" w:type="dxa"/>
            <w:gridSpan w:val="2"/>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Número de casos por tipo de color de la piel.</w:t>
            </w:r>
          </w:p>
        </w:tc>
        <w:tc>
          <w:tcPr>
            <w:tcW w:w="2168" w:type="dxa"/>
            <w:tcBorders>
              <w:top w:val="single" w:sz="4" w:space="0" w:color="auto"/>
              <w:left w:val="single" w:sz="4" w:space="0" w:color="auto"/>
              <w:bottom w:val="single" w:sz="4" w:space="0" w:color="auto"/>
              <w:right w:val="single" w:sz="4" w:space="0" w:color="auto"/>
            </w:tcBorders>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Blancos</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No Blancos </w:t>
            </w:r>
          </w:p>
          <w:p w:rsidR="00BF4538" w:rsidRPr="00BF4538" w:rsidRDefault="00BF4538" w:rsidP="00BF4538">
            <w:pPr>
              <w:spacing w:after="0" w:line="360" w:lineRule="auto"/>
              <w:jc w:val="both"/>
              <w:rPr>
                <w:rFonts w:ascii="Arial" w:eastAsia="Times New Roman" w:hAnsi="Arial" w:cs="Arial"/>
                <w:sz w:val="24"/>
                <w:szCs w:val="24"/>
                <w:lang w:val="es-ES"/>
              </w:rPr>
            </w:pPr>
          </w:p>
        </w:tc>
        <w:tc>
          <w:tcPr>
            <w:tcW w:w="1570"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Tasa por 100</w:t>
            </w:r>
          </w:p>
        </w:tc>
      </w:tr>
      <w:tr w:rsidR="00BF4538" w:rsidRPr="00BF4538" w:rsidTr="00BF4538">
        <w:trPr>
          <w:trHeight w:val="525"/>
        </w:trPr>
        <w:tc>
          <w:tcPr>
            <w:tcW w:w="9475" w:type="dxa"/>
            <w:gridSpan w:val="6"/>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Variables Clínicas</w:t>
            </w:r>
          </w:p>
        </w:tc>
      </w:tr>
      <w:tr w:rsidR="00BF4538" w:rsidRPr="00BF4538" w:rsidTr="00BF4538">
        <w:trPr>
          <w:trHeight w:val="416"/>
        </w:trPr>
        <w:tc>
          <w:tcPr>
            <w:tcW w:w="1911" w:type="dxa"/>
            <w:tcBorders>
              <w:top w:val="single" w:sz="4" w:space="0" w:color="auto"/>
              <w:left w:val="single" w:sz="4" w:space="0" w:color="auto"/>
              <w:bottom w:val="single" w:sz="4" w:space="0" w:color="auto"/>
              <w:right w:val="single" w:sz="4" w:space="0" w:color="auto"/>
            </w:tcBorders>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Tipo de diabetes</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Cualitativa </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Ordinal</w:t>
            </w:r>
          </w:p>
        </w:tc>
        <w:tc>
          <w:tcPr>
            <w:tcW w:w="2025"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Se refiere a la Clasificación de la Diabetes Mellitus.  </w:t>
            </w:r>
          </w:p>
        </w:tc>
        <w:tc>
          <w:tcPr>
            <w:tcW w:w="1801" w:type="dxa"/>
            <w:gridSpan w:val="2"/>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Número de casos por tipo de enfermedad.</w:t>
            </w:r>
          </w:p>
        </w:tc>
        <w:tc>
          <w:tcPr>
            <w:tcW w:w="2168"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Tipo 1</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Tipo 2 </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Otros </w:t>
            </w:r>
          </w:p>
        </w:tc>
        <w:tc>
          <w:tcPr>
            <w:tcW w:w="1570"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Tasa por 100.</w:t>
            </w:r>
          </w:p>
        </w:tc>
      </w:tr>
      <w:tr w:rsidR="00BF4538" w:rsidRPr="00BF4538" w:rsidTr="00BF4538">
        <w:trPr>
          <w:trHeight w:val="550"/>
        </w:trPr>
        <w:tc>
          <w:tcPr>
            <w:tcW w:w="1911" w:type="dxa"/>
            <w:tcBorders>
              <w:top w:val="single" w:sz="4" w:space="0" w:color="auto"/>
              <w:left w:val="single" w:sz="4" w:space="0" w:color="auto"/>
              <w:bottom w:val="single" w:sz="4" w:space="0" w:color="auto"/>
              <w:right w:val="single" w:sz="4" w:space="0" w:color="auto"/>
            </w:tcBorders>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Años con diabetes </w:t>
            </w:r>
          </w:p>
          <w:p w:rsidR="00BF4538" w:rsidRPr="00BF4538" w:rsidRDefault="00BF4538" w:rsidP="00BF4538">
            <w:pPr>
              <w:spacing w:after="0" w:line="360" w:lineRule="auto"/>
              <w:jc w:val="both"/>
              <w:rPr>
                <w:rFonts w:ascii="Arial" w:eastAsia="Times New Roman" w:hAnsi="Arial" w:cs="Arial"/>
                <w:sz w:val="24"/>
                <w:szCs w:val="24"/>
                <w:lang w:val="es-ES"/>
              </w:rPr>
            </w:pP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lastRenderedPageBreak/>
              <w:t>Cuantitativa Continua</w:t>
            </w:r>
          </w:p>
          <w:p w:rsidR="00BF4538" w:rsidRPr="00BF4538" w:rsidRDefault="00BF4538" w:rsidP="00BF4538">
            <w:pPr>
              <w:spacing w:after="0" w:line="360" w:lineRule="auto"/>
              <w:jc w:val="both"/>
              <w:rPr>
                <w:rFonts w:ascii="Arial" w:eastAsia="Times New Roman" w:hAnsi="Arial" w:cs="Arial"/>
                <w:sz w:val="24"/>
                <w:szCs w:val="24"/>
                <w:lang w:val="es-ES"/>
              </w:rPr>
            </w:pPr>
          </w:p>
        </w:tc>
        <w:tc>
          <w:tcPr>
            <w:tcW w:w="2025"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lastRenderedPageBreak/>
              <w:t xml:space="preserve">Se refiere al tiempo en años padeciendo de la Diabetes según </w:t>
            </w:r>
            <w:r w:rsidRPr="00BF4538">
              <w:rPr>
                <w:rFonts w:ascii="Arial" w:eastAsia="Times New Roman" w:hAnsi="Arial" w:cs="Arial"/>
                <w:sz w:val="24"/>
                <w:szCs w:val="24"/>
                <w:lang w:val="es-ES"/>
              </w:rPr>
              <w:lastRenderedPageBreak/>
              <w:t>lo consignado en la Historia de Salud Familiar en el momento de incluirse en el programa.</w:t>
            </w:r>
          </w:p>
        </w:tc>
        <w:tc>
          <w:tcPr>
            <w:tcW w:w="1801" w:type="dxa"/>
            <w:gridSpan w:val="2"/>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lastRenderedPageBreak/>
              <w:t>Número de casos por años</w:t>
            </w:r>
          </w:p>
        </w:tc>
        <w:tc>
          <w:tcPr>
            <w:tcW w:w="2168" w:type="dxa"/>
            <w:tcBorders>
              <w:top w:val="single" w:sz="4" w:space="0" w:color="auto"/>
              <w:left w:val="single" w:sz="4" w:space="0" w:color="auto"/>
              <w:bottom w:val="single" w:sz="4" w:space="0" w:color="auto"/>
              <w:right w:val="single" w:sz="4" w:space="0" w:color="auto"/>
            </w:tcBorders>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Hasta 5 años</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Entre 6 y 10 años</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Más de 10 años</w:t>
            </w:r>
          </w:p>
          <w:p w:rsidR="00BF4538" w:rsidRPr="00BF4538" w:rsidRDefault="00BF4538" w:rsidP="00BF4538">
            <w:pPr>
              <w:spacing w:after="0" w:line="360" w:lineRule="auto"/>
              <w:jc w:val="both"/>
              <w:rPr>
                <w:rFonts w:ascii="Arial" w:eastAsia="Times New Roman" w:hAnsi="Arial" w:cs="Arial"/>
                <w:sz w:val="24"/>
                <w:szCs w:val="24"/>
                <w:lang w:val="es-ES"/>
              </w:rPr>
            </w:pPr>
          </w:p>
        </w:tc>
        <w:tc>
          <w:tcPr>
            <w:tcW w:w="1570"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Tasa por 100.</w:t>
            </w:r>
          </w:p>
        </w:tc>
      </w:tr>
      <w:tr w:rsidR="00BF4538" w:rsidRPr="00BF4538" w:rsidTr="00BF4538">
        <w:trPr>
          <w:trHeight w:val="550"/>
        </w:trPr>
        <w:tc>
          <w:tcPr>
            <w:tcW w:w="1911" w:type="dxa"/>
            <w:tcBorders>
              <w:top w:val="single" w:sz="4" w:space="0" w:color="auto"/>
              <w:left w:val="single" w:sz="4" w:space="0" w:color="auto"/>
              <w:bottom w:val="single" w:sz="4" w:space="0" w:color="auto"/>
              <w:right w:val="single" w:sz="4" w:space="0" w:color="auto"/>
            </w:tcBorders>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lastRenderedPageBreak/>
              <w:t xml:space="preserve">Adherencia al tratamiento </w:t>
            </w:r>
          </w:p>
          <w:p w:rsidR="00BF4538" w:rsidRPr="00BF4538" w:rsidRDefault="00BF4538" w:rsidP="00BF4538">
            <w:pPr>
              <w:spacing w:after="0" w:line="360" w:lineRule="auto"/>
              <w:jc w:val="both"/>
              <w:rPr>
                <w:rFonts w:ascii="Arial" w:eastAsia="Times New Roman" w:hAnsi="Arial" w:cs="Arial"/>
                <w:sz w:val="24"/>
                <w:szCs w:val="24"/>
                <w:lang w:val="es-ES"/>
              </w:rPr>
            </w:pP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Cualitativa Ordinal </w:t>
            </w:r>
          </w:p>
        </w:tc>
        <w:tc>
          <w:tcPr>
            <w:tcW w:w="2025"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Se refiere al cumplimiento de las orientaciones médicas por parte del paciente según la Historia de Salud Individual en el momento de incluirse en el estudio.</w:t>
            </w:r>
          </w:p>
        </w:tc>
        <w:tc>
          <w:tcPr>
            <w:tcW w:w="1801" w:type="dxa"/>
            <w:gridSpan w:val="2"/>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Número de casos por estatus.</w:t>
            </w:r>
          </w:p>
        </w:tc>
        <w:tc>
          <w:tcPr>
            <w:tcW w:w="2168" w:type="dxa"/>
            <w:tcBorders>
              <w:top w:val="single" w:sz="4" w:space="0" w:color="auto"/>
              <w:left w:val="single" w:sz="4" w:space="0" w:color="auto"/>
              <w:bottom w:val="single" w:sz="4" w:space="0" w:color="auto"/>
              <w:right w:val="single" w:sz="4" w:space="0" w:color="auto"/>
            </w:tcBorders>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Buena. Cumple con el 90% o más de las consultas, orientaciones y tratamiento médico.</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Regular: Del 60 al 89%.</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Mala: Menos del 60%.</w:t>
            </w:r>
          </w:p>
        </w:tc>
        <w:tc>
          <w:tcPr>
            <w:tcW w:w="1570"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Tasa por 100.</w:t>
            </w:r>
          </w:p>
        </w:tc>
      </w:tr>
      <w:tr w:rsidR="00BF4538" w:rsidRPr="00BF4538" w:rsidTr="00BF4538">
        <w:trPr>
          <w:trHeight w:val="550"/>
        </w:trPr>
        <w:tc>
          <w:tcPr>
            <w:tcW w:w="1911" w:type="dxa"/>
            <w:tcBorders>
              <w:top w:val="single" w:sz="4" w:space="0" w:color="auto"/>
              <w:left w:val="single" w:sz="4" w:space="0" w:color="auto"/>
              <w:bottom w:val="single" w:sz="4" w:space="0" w:color="auto"/>
              <w:right w:val="single" w:sz="4" w:space="0" w:color="auto"/>
            </w:tcBorders>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Tipo de Tratamiento</w:t>
            </w:r>
          </w:p>
          <w:p w:rsidR="00BF4538" w:rsidRPr="00BF4538" w:rsidRDefault="00BF4538" w:rsidP="00BF4538">
            <w:pPr>
              <w:spacing w:after="0" w:line="360" w:lineRule="auto"/>
              <w:jc w:val="both"/>
              <w:rPr>
                <w:rFonts w:ascii="Arial" w:eastAsia="Times New Roman" w:hAnsi="Arial" w:cs="Arial"/>
                <w:sz w:val="24"/>
                <w:szCs w:val="24"/>
                <w:lang w:val="es-ES"/>
              </w:rPr>
            </w:pP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Cualitativa Politómica Nominal</w:t>
            </w:r>
          </w:p>
        </w:tc>
        <w:tc>
          <w:tcPr>
            <w:tcW w:w="2025"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Se refiere al tratamiento empleado en cada caso según lo consignado en la Historia de Salud Individual. Incluye todas las posibles combinaciones. </w:t>
            </w:r>
          </w:p>
        </w:tc>
        <w:tc>
          <w:tcPr>
            <w:tcW w:w="1801" w:type="dxa"/>
            <w:gridSpan w:val="2"/>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Número de casos por tipo de tratamiento.</w:t>
            </w:r>
          </w:p>
        </w:tc>
        <w:tc>
          <w:tcPr>
            <w:tcW w:w="2168"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1-Dieta.</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2-Dieta y Tratamiento Vía Oral.</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3-Dieta Y Tratamiento inyectables.</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4-Vía oral.</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5-Inyectables.</w:t>
            </w:r>
          </w:p>
        </w:tc>
        <w:tc>
          <w:tcPr>
            <w:tcW w:w="1570"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Tasa por 100.</w:t>
            </w:r>
          </w:p>
        </w:tc>
      </w:tr>
      <w:tr w:rsidR="00BF4538" w:rsidRPr="00BF4538" w:rsidTr="00BF4538">
        <w:trPr>
          <w:trHeight w:val="550"/>
        </w:trPr>
        <w:tc>
          <w:tcPr>
            <w:tcW w:w="1911" w:type="dxa"/>
            <w:tcBorders>
              <w:top w:val="single" w:sz="4" w:space="0" w:color="auto"/>
              <w:left w:val="single" w:sz="4" w:space="0" w:color="auto"/>
              <w:bottom w:val="single" w:sz="4" w:space="0" w:color="auto"/>
              <w:right w:val="single" w:sz="4" w:space="0" w:color="auto"/>
            </w:tcBorders>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Clasificación de Wagner</w:t>
            </w:r>
          </w:p>
          <w:p w:rsidR="00BF4538" w:rsidRPr="00BF4538" w:rsidRDefault="00BF4538" w:rsidP="00BF4538">
            <w:pPr>
              <w:spacing w:after="0" w:line="360" w:lineRule="auto"/>
              <w:jc w:val="both"/>
              <w:rPr>
                <w:rFonts w:ascii="Arial" w:eastAsia="Times New Roman" w:hAnsi="Arial" w:cs="Arial"/>
                <w:sz w:val="24"/>
                <w:szCs w:val="24"/>
                <w:lang w:val="es-ES"/>
              </w:rPr>
            </w:pP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lastRenderedPageBreak/>
              <w:t>Cualitativa Ordinal</w:t>
            </w:r>
          </w:p>
        </w:tc>
        <w:tc>
          <w:tcPr>
            <w:tcW w:w="2025"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lastRenderedPageBreak/>
              <w:t xml:space="preserve">Se refiere al estadio clínico de Wagner al momento del </w:t>
            </w:r>
            <w:r w:rsidRPr="00BF4538">
              <w:rPr>
                <w:rFonts w:ascii="Arial" w:eastAsia="Times New Roman" w:hAnsi="Arial" w:cs="Arial"/>
                <w:sz w:val="24"/>
                <w:szCs w:val="24"/>
                <w:lang w:val="es-ES"/>
              </w:rPr>
              <w:lastRenderedPageBreak/>
              <w:t>diagnóstico según la clasificación.</w:t>
            </w:r>
            <w:r w:rsidRPr="00BF4538">
              <w:rPr>
                <w:rFonts w:ascii="Arial" w:eastAsia="Times New Roman" w:hAnsi="Arial" w:cs="Arial"/>
                <w:sz w:val="24"/>
                <w:szCs w:val="24"/>
                <w:vertAlign w:val="superscript"/>
                <w:lang w:val="es-ES"/>
              </w:rPr>
              <w:t>27</w:t>
            </w:r>
          </w:p>
        </w:tc>
        <w:tc>
          <w:tcPr>
            <w:tcW w:w="1801" w:type="dxa"/>
            <w:gridSpan w:val="2"/>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lastRenderedPageBreak/>
              <w:t>Número de casos por Estadio de Wagner.</w:t>
            </w:r>
          </w:p>
        </w:tc>
        <w:tc>
          <w:tcPr>
            <w:tcW w:w="2168" w:type="dxa"/>
            <w:tcBorders>
              <w:top w:val="single" w:sz="4" w:space="0" w:color="auto"/>
              <w:left w:val="single" w:sz="4" w:space="0" w:color="auto"/>
              <w:bottom w:val="single" w:sz="4" w:space="0" w:color="auto"/>
              <w:right w:val="single" w:sz="4" w:space="0" w:color="auto"/>
            </w:tcBorders>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Clasificación de Wagner Merrit. (Ver Anexo # 3) </w:t>
            </w:r>
          </w:p>
          <w:p w:rsidR="00BF4538" w:rsidRPr="00BF4538" w:rsidRDefault="00BF4538" w:rsidP="00BF4538">
            <w:pPr>
              <w:spacing w:after="0" w:line="360" w:lineRule="auto"/>
              <w:jc w:val="both"/>
              <w:rPr>
                <w:rFonts w:ascii="Arial" w:eastAsia="Times New Roman" w:hAnsi="Arial" w:cs="Arial"/>
                <w:sz w:val="24"/>
                <w:szCs w:val="24"/>
                <w:lang w:val="es-ES"/>
              </w:rPr>
            </w:pPr>
          </w:p>
        </w:tc>
        <w:tc>
          <w:tcPr>
            <w:tcW w:w="1570"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Tasa por 100.</w:t>
            </w:r>
          </w:p>
        </w:tc>
      </w:tr>
      <w:tr w:rsidR="00BF4538" w:rsidRPr="00BF4538" w:rsidTr="00BF4538">
        <w:trPr>
          <w:trHeight w:val="550"/>
        </w:trPr>
        <w:tc>
          <w:tcPr>
            <w:tcW w:w="1911"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lastRenderedPageBreak/>
              <w:t xml:space="preserve">Recidivas </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Cualitativa Dicotómica</w:t>
            </w:r>
          </w:p>
        </w:tc>
        <w:tc>
          <w:tcPr>
            <w:tcW w:w="2025"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Se refiere a la aparición de úlceras en el mismo lugar u otro sitio durante el período del estudio.</w:t>
            </w:r>
          </w:p>
        </w:tc>
        <w:tc>
          <w:tcPr>
            <w:tcW w:w="1801" w:type="dxa"/>
            <w:gridSpan w:val="2"/>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Número de casos por categoría</w:t>
            </w:r>
          </w:p>
        </w:tc>
        <w:tc>
          <w:tcPr>
            <w:tcW w:w="2168"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Sí</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No</w:t>
            </w:r>
          </w:p>
        </w:tc>
        <w:tc>
          <w:tcPr>
            <w:tcW w:w="1570"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Tasa por 100.</w:t>
            </w:r>
          </w:p>
        </w:tc>
      </w:tr>
      <w:tr w:rsidR="00BF4538" w:rsidRPr="00BF4538" w:rsidTr="00BF4538">
        <w:trPr>
          <w:trHeight w:val="2196"/>
        </w:trPr>
        <w:tc>
          <w:tcPr>
            <w:tcW w:w="1911" w:type="dxa"/>
            <w:tcBorders>
              <w:top w:val="single" w:sz="4" w:space="0" w:color="auto"/>
              <w:left w:val="single" w:sz="4" w:space="0" w:color="auto"/>
              <w:bottom w:val="single" w:sz="4" w:space="0" w:color="auto"/>
              <w:right w:val="single" w:sz="4" w:space="0" w:color="auto"/>
            </w:tcBorders>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Complicaciones</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Cualitativa Politómica Nominal</w:t>
            </w:r>
          </w:p>
          <w:p w:rsidR="00BF4538" w:rsidRPr="00BF4538" w:rsidRDefault="00BF4538" w:rsidP="00BF4538">
            <w:pPr>
              <w:spacing w:after="0" w:line="360" w:lineRule="auto"/>
              <w:jc w:val="both"/>
              <w:rPr>
                <w:rFonts w:ascii="Arial" w:eastAsia="Times New Roman" w:hAnsi="Arial" w:cs="Arial"/>
                <w:sz w:val="24"/>
                <w:szCs w:val="24"/>
                <w:lang w:val="es-ES"/>
              </w:rPr>
            </w:pPr>
          </w:p>
        </w:tc>
        <w:tc>
          <w:tcPr>
            <w:tcW w:w="2025"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Se refiere a la aparición o no de complicaciones. </w:t>
            </w:r>
          </w:p>
        </w:tc>
        <w:tc>
          <w:tcPr>
            <w:tcW w:w="1801" w:type="dxa"/>
            <w:gridSpan w:val="2"/>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Número de casos por categoría.</w:t>
            </w:r>
          </w:p>
        </w:tc>
        <w:tc>
          <w:tcPr>
            <w:tcW w:w="2168"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Sí </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No</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Tipos de complicaciones.</w:t>
            </w:r>
          </w:p>
        </w:tc>
        <w:tc>
          <w:tcPr>
            <w:tcW w:w="1570" w:type="dxa"/>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Tasa por 100</w:t>
            </w:r>
          </w:p>
        </w:tc>
      </w:tr>
      <w:tr w:rsidR="00BF4538" w:rsidRPr="00BF4538" w:rsidTr="00BF4538">
        <w:trPr>
          <w:trHeight w:val="366"/>
        </w:trPr>
        <w:tc>
          <w:tcPr>
            <w:tcW w:w="9475" w:type="dxa"/>
            <w:gridSpan w:val="6"/>
            <w:tcBorders>
              <w:top w:val="single" w:sz="4" w:space="0" w:color="auto"/>
              <w:left w:val="single" w:sz="4" w:space="0" w:color="auto"/>
              <w:bottom w:val="single" w:sz="4" w:space="0" w:color="auto"/>
              <w:right w:val="single" w:sz="4" w:space="0" w:color="auto"/>
            </w:tcBorders>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Variables de calidad de vida relacionada con la salud.</w:t>
            </w:r>
          </w:p>
        </w:tc>
      </w:tr>
      <w:tr w:rsidR="00BF4538" w:rsidRPr="00BF4538" w:rsidTr="00BF4538">
        <w:trPr>
          <w:trHeight w:val="550"/>
        </w:trPr>
        <w:tc>
          <w:tcPr>
            <w:tcW w:w="1911" w:type="dxa"/>
            <w:tcBorders>
              <w:top w:val="single" w:sz="4" w:space="0" w:color="auto"/>
              <w:left w:val="single" w:sz="4" w:space="0" w:color="auto"/>
              <w:bottom w:val="single" w:sz="4" w:space="0" w:color="auto"/>
              <w:right w:val="single" w:sz="4" w:space="0" w:color="auto"/>
            </w:tcBorders>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Calidad de vida relacionada con la salud. </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Cualitativa Ordinal</w:t>
            </w:r>
          </w:p>
        </w:tc>
        <w:tc>
          <w:tcPr>
            <w:tcW w:w="2025" w:type="dxa"/>
            <w:tcBorders>
              <w:top w:val="single" w:sz="4" w:space="0" w:color="auto"/>
              <w:left w:val="single" w:sz="4" w:space="0" w:color="auto"/>
              <w:bottom w:val="single" w:sz="4" w:space="0" w:color="auto"/>
              <w:right w:val="single" w:sz="4" w:space="0" w:color="auto"/>
            </w:tcBorders>
          </w:tcPr>
          <w:p w:rsidR="00BF4538" w:rsidRPr="00BF4538" w:rsidRDefault="00BF4538" w:rsidP="00BF4538">
            <w:pPr>
              <w:spacing w:after="0" w:line="360" w:lineRule="auto"/>
              <w:jc w:val="both"/>
              <w:rPr>
                <w:rFonts w:ascii="Arial" w:eastAsia="Times New Roman" w:hAnsi="Arial" w:cs="Arial"/>
                <w:sz w:val="24"/>
                <w:szCs w:val="24"/>
                <w:vertAlign w:val="superscript"/>
                <w:lang w:val="es-ES"/>
              </w:rPr>
            </w:pPr>
            <w:r w:rsidRPr="00BF4538">
              <w:rPr>
                <w:rFonts w:ascii="Arial" w:eastAsia="Times New Roman" w:hAnsi="Arial" w:cs="Arial"/>
                <w:sz w:val="24"/>
                <w:szCs w:val="24"/>
                <w:lang w:val="es-ES"/>
              </w:rPr>
              <w:t>Se refiere a un perfil del estado de salud para evaluar la calidad de vida relacionada con la salud.</w:t>
            </w:r>
            <w:r w:rsidRPr="00BF4538">
              <w:rPr>
                <w:rFonts w:ascii="Arial" w:eastAsia="Times New Roman" w:hAnsi="Arial" w:cs="Arial"/>
                <w:sz w:val="24"/>
                <w:szCs w:val="24"/>
                <w:vertAlign w:val="superscript"/>
                <w:lang w:val="es-ES"/>
              </w:rPr>
              <w:t>33</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El puntaje final se lleva a escala de 100 para poder comparar con otros estudios.</w:t>
            </w:r>
          </w:p>
        </w:tc>
        <w:tc>
          <w:tcPr>
            <w:tcW w:w="1801" w:type="dxa"/>
            <w:gridSpan w:val="2"/>
            <w:tcBorders>
              <w:top w:val="single" w:sz="4" w:space="0" w:color="auto"/>
              <w:left w:val="single" w:sz="4" w:space="0" w:color="auto"/>
              <w:bottom w:val="single" w:sz="4" w:space="0" w:color="auto"/>
              <w:right w:val="single" w:sz="4" w:space="0" w:color="auto"/>
            </w:tcBorders>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Número de casos por categoría.</w:t>
            </w:r>
          </w:p>
        </w:tc>
        <w:tc>
          <w:tcPr>
            <w:tcW w:w="2168" w:type="dxa"/>
            <w:tcBorders>
              <w:top w:val="single" w:sz="4" w:space="0" w:color="auto"/>
              <w:left w:val="single" w:sz="4" w:space="0" w:color="auto"/>
              <w:bottom w:val="single" w:sz="4" w:space="0" w:color="auto"/>
              <w:right w:val="single" w:sz="4" w:space="0" w:color="auto"/>
            </w:tcBorders>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Buena (70 a 100 puntos) </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Regular (40 a 69 puntos) </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Mala (Menos de 40 puntos) </w:t>
            </w:r>
          </w:p>
        </w:tc>
        <w:tc>
          <w:tcPr>
            <w:tcW w:w="1570" w:type="dxa"/>
            <w:tcBorders>
              <w:top w:val="single" w:sz="4" w:space="0" w:color="auto"/>
              <w:left w:val="single" w:sz="4" w:space="0" w:color="auto"/>
              <w:bottom w:val="single" w:sz="4" w:space="0" w:color="auto"/>
              <w:right w:val="single" w:sz="4" w:space="0" w:color="auto"/>
            </w:tcBorders>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Tasa por 100</w:t>
            </w:r>
          </w:p>
        </w:tc>
      </w:tr>
      <w:tr w:rsidR="00BF4538" w:rsidRPr="00BF4538" w:rsidTr="00BF4538">
        <w:trPr>
          <w:trHeight w:val="550"/>
        </w:trPr>
        <w:tc>
          <w:tcPr>
            <w:tcW w:w="1911" w:type="dxa"/>
            <w:tcBorders>
              <w:top w:val="single" w:sz="4" w:space="0" w:color="auto"/>
              <w:left w:val="single" w:sz="4" w:space="0" w:color="auto"/>
              <w:bottom w:val="single" w:sz="4" w:space="0" w:color="auto"/>
              <w:right w:val="single" w:sz="4" w:space="0" w:color="auto"/>
            </w:tcBorders>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lastRenderedPageBreak/>
              <w:t>Calidad de vida relacionada con la salud según sus dimensiones.</w:t>
            </w:r>
          </w:p>
          <w:p w:rsidR="00BF4538" w:rsidRPr="00BF4538" w:rsidRDefault="00BF4538" w:rsidP="00BF4538">
            <w:pPr>
              <w:spacing w:after="0" w:line="360" w:lineRule="auto"/>
              <w:jc w:val="both"/>
              <w:rPr>
                <w:rFonts w:ascii="Arial" w:eastAsia="Times New Roman" w:hAnsi="Arial" w:cs="Arial"/>
                <w:sz w:val="24"/>
                <w:szCs w:val="24"/>
                <w:lang w:val="es-ES"/>
              </w:rPr>
            </w:pP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Cualitativa Nominal</w:t>
            </w:r>
          </w:p>
        </w:tc>
        <w:tc>
          <w:tcPr>
            <w:tcW w:w="2025" w:type="dxa"/>
            <w:tcBorders>
              <w:top w:val="single" w:sz="4" w:space="0" w:color="auto"/>
              <w:left w:val="single" w:sz="4" w:space="0" w:color="auto"/>
              <w:bottom w:val="single" w:sz="4" w:space="0" w:color="auto"/>
              <w:right w:val="single" w:sz="4" w:space="0" w:color="auto"/>
            </w:tcBorders>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Se refiere a las dimensiones medidas en el modelo SF-36 para CVRS.</w:t>
            </w:r>
            <w:r w:rsidRPr="00BF4538">
              <w:rPr>
                <w:rFonts w:ascii="Arial" w:eastAsia="Times New Roman" w:hAnsi="Arial" w:cs="Arial"/>
                <w:sz w:val="24"/>
                <w:szCs w:val="24"/>
                <w:vertAlign w:val="superscript"/>
                <w:lang w:val="es-ES"/>
              </w:rPr>
              <w:t>34</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A cada una se le asigna la puntuación en función del puntaje final.</w:t>
            </w:r>
          </w:p>
        </w:tc>
        <w:tc>
          <w:tcPr>
            <w:tcW w:w="1801" w:type="dxa"/>
            <w:gridSpan w:val="2"/>
            <w:tcBorders>
              <w:top w:val="single" w:sz="4" w:space="0" w:color="auto"/>
              <w:left w:val="single" w:sz="4" w:space="0" w:color="auto"/>
              <w:bottom w:val="single" w:sz="4" w:space="0" w:color="auto"/>
              <w:right w:val="single" w:sz="4" w:space="0" w:color="auto"/>
            </w:tcBorders>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Número de casos por categoría.</w:t>
            </w:r>
          </w:p>
        </w:tc>
        <w:tc>
          <w:tcPr>
            <w:tcW w:w="2168" w:type="dxa"/>
            <w:tcBorders>
              <w:top w:val="single" w:sz="4" w:space="0" w:color="auto"/>
              <w:left w:val="single" w:sz="4" w:space="0" w:color="auto"/>
              <w:bottom w:val="single" w:sz="4" w:space="0" w:color="auto"/>
              <w:right w:val="single" w:sz="4" w:space="0" w:color="auto"/>
            </w:tcBorders>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Función Física (10)</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Rol Físico (4)</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Dolor Corporal (2)</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Salud General (5)</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Vitalidad (4)</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Función Social (2)</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Rol Emocional (3)</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Salud Mental (5)</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Transición de Salud (1)</w:t>
            </w:r>
          </w:p>
        </w:tc>
        <w:tc>
          <w:tcPr>
            <w:tcW w:w="1570" w:type="dxa"/>
            <w:tcBorders>
              <w:top w:val="single" w:sz="4" w:space="0" w:color="auto"/>
              <w:left w:val="single" w:sz="4" w:space="0" w:color="auto"/>
              <w:bottom w:val="single" w:sz="4" w:space="0" w:color="auto"/>
              <w:right w:val="single" w:sz="4" w:space="0" w:color="auto"/>
            </w:tcBorders>
          </w:tcPr>
          <w:p w:rsidR="00BF4538" w:rsidRPr="00BF4538" w:rsidRDefault="00BF4538" w:rsidP="00BF4538">
            <w:pPr>
              <w:spacing w:after="0" w:line="360" w:lineRule="auto"/>
              <w:jc w:val="both"/>
              <w:rPr>
                <w:rFonts w:ascii="Arial" w:eastAsia="Times New Roman" w:hAnsi="Arial" w:cs="Arial"/>
                <w:sz w:val="24"/>
                <w:szCs w:val="24"/>
                <w:lang w:val="es-ES"/>
              </w:rPr>
            </w:pPr>
          </w:p>
        </w:tc>
      </w:tr>
    </w:tbl>
    <w:p w:rsidR="00BF4538" w:rsidRPr="00BF4538" w:rsidRDefault="00BF4538" w:rsidP="00BF4538">
      <w:pPr>
        <w:spacing w:after="0" w:line="360" w:lineRule="auto"/>
        <w:jc w:val="both"/>
        <w:rPr>
          <w:rFonts w:ascii="Arial" w:eastAsia="Times New Roman" w:hAnsi="Arial" w:cs="Arial"/>
          <w:sz w:val="24"/>
          <w:szCs w:val="24"/>
        </w:rPr>
      </w:pPr>
    </w:p>
    <w:p w:rsidR="00BF4538" w:rsidRPr="00BF4538" w:rsidRDefault="00BF4538" w:rsidP="00BF4538">
      <w:pPr>
        <w:spacing w:after="0" w:line="360" w:lineRule="auto"/>
        <w:jc w:val="both"/>
        <w:rPr>
          <w:rFonts w:ascii="Arial" w:eastAsia="Times New Roman" w:hAnsi="Arial" w:cs="Arial"/>
          <w:b/>
          <w:sz w:val="24"/>
          <w:szCs w:val="24"/>
          <w:lang w:val="es-ES" w:eastAsia="es-ES_tradnl"/>
        </w:rPr>
      </w:pPr>
      <w:r w:rsidRPr="00BF4538">
        <w:rPr>
          <w:rFonts w:ascii="Arial" w:eastAsia="Times New Roman" w:hAnsi="Arial" w:cs="Arial"/>
          <w:b/>
          <w:sz w:val="24"/>
          <w:szCs w:val="24"/>
          <w:lang w:val="es-ES" w:eastAsia="es-ES_tradnl"/>
        </w:rPr>
        <w:t>Implicaciones éticas.</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Cada paciente participante firmó un Modelo de Consentimiento Informado, previa lectura de la Hoja Informativa. En el mismo se explica su voluntariedad de participación en el estudio y la posibilidad de retirarse de él sin daño a la calidad de su atención. </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En el caso de los fallecidos se respetarán las variables de identidad al momento de divulgar resultados.</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Calibri" w:hAnsi="Arial" w:cs="Arial"/>
          <w:sz w:val="24"/>
          <w:szCs w:val="24"/>
          <w:lang w:val="es-ES" w:eastAsia="zh-CN"/>
        </w:rPr>
        <w:t>Los resultados del estudio serán revisados solamente por el equipo de investigación y su divulgación se efectuará de forma global.</w:t>
      </w:r>
      <w:r w:rsidRPr="00BF4538">
        <w:rPr>
          <w:rFonts w:ascii="Arial" w:eastAsia="Times New Roman" w:hAnsi="Arial" w:cs="Arial"/>
          <w:sz w:val="24"/>
          <w:szCs w:val="24"/>
          <w:lang w:val="es-ES"/>
        </w:rPr>
        <w:t xml:space="preserve"> En ningún caso se manejan variables de identidad personal y a cada paciente se le asigna un código de identificación para no utilizar el nombre. Cualquier publicación generada a partir de estos resultados no incluirá ninguna referencia a identidades. </w:t>
      </w:r>
    </w:p>
    <w:p w:rsidR="00BF4538" w:rsidRPr="00BF4538" w:rsidRDefault="00BF4538" w:rsidP="00BF4538">
      <w:pPr>
        <w:spacing w:after="0" w:line="360" w:lineRule="auto"/>
        <w:jc w:val="both"/>
        <w:rPr>
          <w:rFonts w:ascii="Arial" w:eastAsia="Calibri" w:hAnsi="Arial" w:cs="Arial"/>
          <w:b/>
          <w:sz w:val="24"/>
          <w:szCs w:val="24"/>
          <w:lang w:val="es-ES" w:eastAsia="zh-CN"/>
        </w:rPr>
      </w:pPr>
    </w:p>
    <w:p w:rsidR="00BF4538" w:rsidRPr="00BF4538" w:rsidRDefault="00BF4538" w:rsidP="00BF4538">
      <w:pPr>
        <w:spacing w:after="0" w:line="360" w:lineRule="auto"/>
        <w:jc w:val="both"/>
        <w:rPr>
          <w:rFonts w:ascii="Arial" w:eastAsia="SimSun" w:hAnsi="Arial" w:cs="Arial"/>
          <w:b/>
          <w:kern w:val="2"/>
          <w:sz w:val="24"/>
          <w:szCs w:val="24"/>
          <w:lang w:val="es-ES" w:eastAsia="zh-CN"/>
        </w:rPr>
      </w:pPr>
      <w:r w:rsidRPr="00BF4538">
        <w:rPr>
          <w:rFonts w:ascii="Arial" w:eastAsia="Calibri" w:hAnsi="Arial" w:cs="Arial"/>
          <w:b/>
          <w:sz w:val="24"/>
          <w:szCs w:val="24"/>
          <w:lang w:val="es-ES" w:eastAsia="zh-CN"/>
        </w:rPr>
        <w:t>Responsabilidades éticas de los participantes de la investigación:</w:t>
      </w:r>
    </w:p>
    <w:p w:rsidR="00BF4538" w:rsidRPr="00BF4538" w:rsidRDefault="00BF4538" w:rsidP="00BF4538">
      <w:pPr>
        <w:spacing w:after="0" w:line="360" w:lineRule="auto"/>
        <w:jc w:val="both"/>
        <w:rPr>
          <w:rFonts w:ascii="Arial" w:eastAsia="SimSun" w:hAnsi="Arial" w:cs="Arial"/>
          <w:kern w:val="2"/>
          <w:sz w:val="24"/>
          <w:szCs w:val="24"/>
          <w:lang w:val="es-ES" w:eastAsia="zh-CN"/>
        </w:rPr>
      </w:pPr>
      <w:r w:rsidRPr="00BF4538">
        <w:rPr>
          <w:rFonts w:ascii="Arial" w:eastAsia="SimSun" w:hAnsi="Arial" w:cs="Arial"/>
          <w:kern w:val="2"/>
          <w:sz w:val="24"/>
          <w:szCs w:val="24"/>
          <w:lang w:val="es-ES" w:eastAsia="zh-CN"/>
        </w:rPr>
        <w:t>Investigador: Adherirse al protocolo y solicitar el consentimiento informado al Consejo Científico y directivos directamente relacionados con la entrega de la información.</w:t>
      </w:r>
    </w:p>
    <w:p w:rsidR="00BF4538" w:rsidRPr="00BF4538" w:rsidRDefault="00BF4538" w:rsidP="00BF4538">
      <w:pPr>
        <w:spacing w:after="0" w:line="360" w:lineRule="auto"/>
        <w:jc w:val="both"/>
        <w:rPr>
          <w:rFonts w:ascii="Arial" w:eastAsia="SimSun" w:hAnsi="Arial" w:cs="Arial"/>
          <w:kern w:val="2"/>
          <w:sz w:val="24"/>
          <w:szCs w:val="24"/>
          <w:lang w:val="es-ES" w:eastAsia="zh-CN"/>
        </w:rPr>
      </w:pPr>
      <w:r w:rsidRPr="00BF4538">
        <w:rPr>
          <w:rFonts w:ascii="Arial" w:eastAsia="SimSun" w:hAnsi="Arial" w:cs="Arial"/>
          <w:kern w:val="2"/>
          <w:sz w:val="24"/>
          <w:szCs w:val="24"/>
          <w:lang w:val="es-ES" w:eastAsia="zh-CN"/>
        </w:rPr>
        <w:t>Institución: Asegurar el mantenimiento de las facilidades y su utilización por parte del investigador.</w:t>
      </w:r>
    </w:p>
    <w:p w:rsidR="00BF4538" w:rsidRPr="00BF4538" w:rsidRDefault="00BF4538" w:rsidP="00BF4538">
      <w:pPr>
        <w:keepNext/>
        <w:spacing w:before="240" w:after="60" w:line="360" w:lineRule="auto"/>
        <w:jc w:val="both"/>
        <w:outlineLvl w:val="0"/>
        <w:rPr>
          <w:rFonts w:ascii="Arial" w:eastAsia="Times New Roman" w:hAnsi="Arial" w:cs="Arial"/>
          <w:b/>
          <w:bCs/>
          <w:kern w:val="32"/>
          <w:sz w:val="24"/>
          <w:szCs w:val="24"/>
          <w:lang w:val="es-ES"/>
        </w:rPr>
      </w:pPr>
      <w:bookmarkStart w:id="1" w:name="_Toc115975166"/>
      <w:r w:rsidRPr="00BF4538">
        <w:rPr>
          <w:rFonts w:ascii="Arial" w:eastAsia="Times New Roman" w:hAnsi="Arial" w:cs="Arial"/>
          <w:b/>
          <w:bCs/>
          <w:kern w:val="32"/>
          <w:sz w:val="24"/>
          <w:szCs w:val="24"/>
          <w:lang w:val="es-ES"/>
        </w:rPr>
        <w:lastRenderedPageBreak/>
        <w:t>Análisis y discusión de los resultados</w:t>
      </w:r>
      <w:bookmarkEnd w:id="1"/>
      <w:r w:rsidRPr="00BF4538">
        <w:rPr>
          <w:rFonts w:ascii="Arial" w:eastAsia="Times New Roman" w:hAnsi="Arial" w:cs="Arial"/>
          <w:b/>
          <w:bCs/>
          <w:kern w:val="32"/>
          <w:sz w:val="24"/>
          <w:szCs w:val="24"/>
          <w:lang w:val="es-ES"/>
        </w:rPr>
        <w:t>.</w:t>
      </w:r>
    </w:p>
    <w:p w:rsidR="00BF4538" w:rsidRPr="00BF4538" w:rsidRDefault="00BF4538"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La Tabla # 1 muestra el total de pacientes con UPD atendidos en el período de estudio en el Policlínico Miguel Montesino de Fomento. Asimismo muestra las principales variables sociodemográficas de esta serie de 92 casos, de los cuales 14 fallecieron durante el tiempo comprendido del 2018 al 2020.</w:t>
      </w:r>
    </w:p>
    <w:p w:rsidR="00BF4538" w:rsidRPr="00BF4538" w:rsidRDefault="00BF4538"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Tabla # 1: Variables Sociodemográficas. Pacientes con UPD y uso de Heberprot-P. Policlínico Miguel Montesino .Fomento. Sancti Spíritus. 2018-2020.</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9"/>
        <w:gridCol w:w="2698"/>
        <w:gridCol w:w="1980"/>
        <w:gridCol w:w="1843"/>
      </w:tblGrid>
      <w:tr w:rsidR="00BF4538" w:rsidRPr="00BF4538" w:rsidTr="00BF4538">
        <w:trPr>
          <w:trHeight w:val="305"/>
          <w:jc w:val="center"/>
        </w:trPr>
        <w:tc>
          <w:tcPr>
            <w:tcW w:w="2799" w:type="dxa"/>
            <w:tcBorders>
              <w:top w:val="single" w:sz="4" w:space="0" w:color="auto"/>
              <w:left w:val="single" w:sz="4" w:space="0" w:color="auto"/>
              <w:bottom w:val="single" w:sz="4" w:space="0" w:color="auto"/>
              <w:right w:val="single" w:sz="4" w:space="0" w:color="auto"/>
            </w:tcBorders>
            <w:shd w:val="clear" w:color="auto" w:fill="DEEAF6"/>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Características</w:t>
            </w:r>
          </w:p>
        </w:tc>
        <w:tc>
          <w:tcPr>
            <w:tcW w:w="2698" w:type="dxa"/>
            <w:tcBorders>
              <w:top w:val="single" w:sz="4" w:space="0" w:color="auto"/>
              <w:left w:val="single" w:sz="4" w:space="0" w:color="auto"/>
              <w:bottom w:val="single" w:sz="4" w:space="0" w:color="auto"/>
              <w:right w:val="single" w:sz="4" w:space="0" w:color="auto"/>
            </w:tcBorders>
            <w:shd w:val="clear" w:color="auto" w:fill="DEEAF6"/>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Población Total</w:t>
            </w:r>
          </w:p>
        </w:tc>
        <w:tc>
          <w:tcPr>
            <w:tcW w:w="1980" w:type="dxa"/>
            <w:tcBorders>
              <w:top w:val="single" w:sz="4" w:space="0" w:color="auto"/>
              <w:left w:val="single" w:sz="4" w:space="0" w:color="auto"/>
              <w:bottom w:val="single" w:sz="4" w:space="0" w:color="auto"/>
              <w:right w:val="single" w:sz="4" w:space="0" w:color="auto"/>
            </w:tcBorders>
            <w:shd w:val="clear" w:color="auto" w:fill="DEEAF6"/>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Fallecidos</w:t>
            </w:r>
          </w:p>
        </w:tc>
        <w:tc>
          <w:tcPr>
            <w:tcW w:w="1843" w:type="dxa"/>
            <w:tcBorders>
              <w:top w:val="single" w:sz="4" w:space="0" w:color="auto"/>
              <w:left w:val="single" w:sz="4" w:space="0" w:color="auto"/>
              <w:bottom w:val="single" w:sz="4" w:space="0" w:color="auto"/>
              <w:right w:val="single" w:sz="4" w:space="0" w:color="auto"/>
            </w:tcBorders>
            <w:shd w:val="clear" w:color="auto" w:fill="DEEAF6"/>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Sobrevivientes</w:t>
            </w:r>
          </w:p>
        </w:tc>
      </w:tr>
      <w:tr w:rsidR="00BF4538" w:rsidRPr="00BF4538" w:rsidTr="00BF4538">
        <w:trPr>
          <w:trHeight w:val="612"/>
          <w:jc w:val="center"/>
        </w:trPr>
        <w:tc>
          <w:tcPr>
            <w:tcW w:w="2799" w:type="dxa"/>
            <w:tcBorders>
              <w:top w:val="single" w:sz="4" w:space="0" w:color="auto"/>
              <w:left w:val="single" w:sz="4" w:space="0" w:color="auto"/>
              <w:bottom w:val="single" w:sz="4" w:space="0" w:color="auto"/>
              <w:right w:val="single" w:sz="4" w:space="0" w:color="auto"/>
            </w:tcBorders>
            <w:shd w:val="clear" w:color="auto" w:fill="DEEAF6"/>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Media de la Edad en años y rango</w:t>
            </w:r>
          </w:p>
        </w:tc>
        <w:tc>
          <w:tcPr>
            <w:tcW w:w="2698"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m=68.8 años       </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R (61-70 )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m= 78.1 años</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R: (71-80)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m= 66.4 años</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R: (61-70)</w:t>
            </w:r>
          </w:p>
        </w:tc>
      </w:tr>
      <w:tr w:rsidR="00BF4538" w:rsidRPr="00BF4538" w:rsidTr="00BF4538">
        <w:trPr>
          <w:trHeight w:val="305"/>
          <w:jc w:val="center"/>
        </w:trPr>
        <w:tc>
          <w:tcPr>
            <w:tcW w:w="2799" w:type="dxa"/>
            <w:vMerge w:val="restart"/>
            <w:tcBorders>
              <w:top w:val="single" w:sz="4" w:space="0" w:color="auto"/>
              <w:left w:val="single" w:sz="4" w:space="0" w:color="auto"/>
              <w:bottom w:val="single" w:sz="4" w:space="0" w:color="auto"/>
              <w:right w:val="single" w:sz="4" w:space="0" w:color="auto"/>
            </w:tcBorders>
            <w:shd w:val="clear" w:color="auto" w:fill="DEEAF6"/>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Sexo (M/F)       Distribución Porcentual</w:t>
            </w:r>
          </w:p>
        </w:tc>
        <w:tc>
          <w:tcPr>
            <w:tcW w:w="2698"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36/56</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8/6</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28/50</w:t>
            </w:r>
          </w:p>
        </w:tc>
      </w:tr>
      <w:tr w:rsidR="00BF4538" w:rsidRPr="00BF4538" w:rsidTr="00BF4538">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p>
        </w:tc>
        <w:tc>
          <w:tcPr>
            <w:tcW w:w="2698"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39.1 % / 60.9 %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57.1 % / 42.9 %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35.9 % / 64.1 %</w:t>
            </w:r>
          </w:p>
        </w:tc>
      </w:tr>
      <w:tr w:rsidR="00BF4538" w:rsidRPr="00BF4538" w:rsidTr="00BF4538">
        <w:trPr>
          <w:trHeight w:val="473"/>
          <w:jc w:val="center"/>
        </w:trPr>
        <w:tc>
          <w:tcPr>
            <w:tcW w:w="2799" w:type="dxa"/>
            <w:vMerge w:val="restart"/>
            <w:tcBorders>
              <w:top w:val="single" w:sz="4" w:space="0" w:color="auto"/>
              <w:left w:val="single" w:sz="4" w:space="0" w:color="auto"/>
              <w:bottom w:val="single" w:sz="4" w:space="0" w:color="auto"/>
              <w:right w:val="single" w:sz="4" w:space="0" w:color="auto"/>
            </w:tcBorders>
            <w:shd w:val="clear" w:color="auto" w:fill="DEEAF6"/>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Color de la Piel (B/NB)   Distribución Porcentual</w:t>
            </w:r>
          </w:p>
        </w:tc>
        <w:tc>
          <w:tcPr>
            <w:tcW w:w="2698"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80/12</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12/2</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70/8</w:t>
            </w:r>
          </w:p>
        </w:tc>
      </w:tr>
      <w:tr w:rsidR="00BF4538" w:rsidRPr="00BF4538" w:rsidTr="00BF4538">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p>
        </w:tc>
        <w:tc>
          <w:tcPr>
            <w:tcW w:w="2698"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87%/13%</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85.7 % / 14.3 %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89.7 % / 10.3 %</w:t>
            </w:r>
          </w:p>
        </w:tc>
      </w:tr>
    </w:tbl>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 xml:space="preserve">Fuente: Historias Clínicas Individuales. Registro del PAIPUPD .Sancti Spíritus.  </w:t>
      </w: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 xml:space="preserve">Al analizar las principales variables sociodemográficas de los casos del estudio, llama la atención en primer lugar el hecho de que la media de edades entre los fallecidos es superior al de los dos grupos restantes. </w:t>
      </w:r>
    </w:p>
    <w:p w:rsidR="00BF4538" w:rsidRPr="00BF4538" w:rsidRDefault="00BF4538"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 xml:space="preserve">Como existe disparidad entre el número de fallecidos (14) y el de sobrevivientes (78); se realiza a continuación una distribución porcentual según grupos etarios dividiendo los vivos y los fallecidos para poder contrastar mejor la situación. En la misma se constata un predominio del grupo etario de 71 a 80 años en ambos grupos, los fallecidos (el 50 % de ellos) y los vivos el (29,3%). </w:t>
      </w:r>
    </w:p>
    <w:p w:rsidR="00BF4538" w:rsidRPr="00BF4538" w:rsidRDefault="00BF4538"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Gráfico # 1: Distribución porcentual según grupos etarios de fallecidos y sobrevivientes. Pacientes con UPD y uso de Heberprot-P. Policlínico Miguel Montesino. Fomento. Sancti Spíritus. 2018-2020.</w:t>
      </w:r>
    </w:p>
    <w:p w:rsidR="00BF4538" w:rsidRPr="00BF4538" w:rsidRDefault="00BF4538" w:rsidP="00BF4538">
      <w:pPr>
        <w:spacing w:after="0" w:line="360" w:lineRule="auto"/>
        <w:jc w:val="both"/>
        <w:rPr>
          <w:rFonts w:ascii="Arial" w:eastAsia="Times New Roman" w:hAnsi="Arial" w:cs="Arial"/>
          <w:noProof/>
          <w:sz w:val="24"/>
          <w:szCs w:val="24"/>
          <w:lang w:val="es-ES" w:eastAsia="es-ES"/>
        </w:rPr>
      </w:pPr>
      <w:r w:rsidRPr="00BF4538">
        <w:rPr>
          <w:rFonts w:ascii="Arial" w:eastAsia="Times New Roman" w:hAnsi="Arial" w:cs="Arial"/>
          <w:noProof/>
          <w:sz w:val="24"/>
          <w:szCs w:val="24"/>
          <w:lang w:val="es-ES" w:eastAsia="es-ES"/>
        </w:rPr>
        <w:lastRenderedPageBreak/>
        <w:drawing>
          <wp:inline distT="0" distB="0" distL="0" distR="0" wp14:anchorId="5FEBBE88" wp14:editId="71F9513D">
            <wp:extent cx="4729480" cy="2648585"/>
            <wp:effectExtent l="0" t="0" r="0" b="0"/>
            <wp:docPr id="1" name="Imagen 1" descr="tabla resumen para result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a resumen para resultad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9480" cy="2648585"/>
                    </a:xfrm>
                    <a:prstGeom prst="rect">
                      <a:avLst/>
                    </a:prstGeom>
                    <a:noFill/>
                    <a:ln>
                      <a:noFill/>
                    </a:ln>
                  </pic:spPr>
                </pic:pic>
              </a:graphicData>
            </a:graphic>
          </wp:inline>
        </w:drawing>
      </w: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Fuente: Historias Clínicas Individuales. Registro del PAIPUD. Sancti Spíritus.</w:t>
      </w:r>
    </w:p>
    <w:p w:rsidR="00BF4538" w:rsidRPr="00BF4538" w:rsidRDefault="00BF4538" w:rsidP="00BF4538">
      <w:pPr>
        <w:spacing w:after="0" w:line="360" w:lineRule="auto"/>
        <w:jc w:val="both"/>
        <w:rPr>
          <w:rFonts w:ascii="Arial" w:eastAsia="Times New Roman" w:hAnsi="Arial" w:cs="Arial"/>
          <w:sz w:val="24"/>
          <w:szCs w:val="24"/>
          <w:vertAlign w:val="superscript"/>
          <w:lang w:val="es-ES_tradnl"/>
        </w:rPr>
      </w:pPr>
      <w:r w:rsidRPr="00BF4538">
        <w:rPr>
          <w:rFonts w:ascii="Arial" w:eastAsia="Times New Roman" w:hAnsi="Arial" w:cs="Arial"/>
          <w:sz w:val="24"/>
          <w:szCs w:val="24"/>
          <w:lang w:val="es-ES_tradnl"/>
        </w:rPr>
        <w:t>En un estudio de 513 pacientes hospitalizados con UPD y posteriormente seguidos durante 5,8 años de manera prospectiva en el Hospital Royal Darwin, Australia, se presenta como principal predictor de mortalidad la edad avanzada, con una diferencia mayor de 10 años en ambos grupos. Si bien se debe señalar como elemento positivo que en la serie de casos del actual estudio las medias de edades son mucho más avanzadas (78.1 y 66.4 para fallecidos y vivos respectivamente) al compararlas con 64,4 y 59,9 del estudio australiano.</w:t>
      </w:r>
      <w:r w:rsidRPr="00BF4538">
        <w:rPr>
          <w:rFonts w:ascii="Arial" w:eastAsia="Times New Roman" w:hAnsi="Arial" w:cs="Arial"/>
          <w:sz w:val="24"/>
          <w:szCs w:val="24"/>
          <w:vertAlign w:val="superscript"/>
          <w:lang w:val="es-ES_tradnl"/>
        </w:rPr>
        <w:t>35, 36</w:t>
      </w:r>
    </w:p>
    <w:p w:rsidR="00BF4538" w:rsidRPr="00BF4538" w:rsidRDefault="00BF4538"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vertAlign w:val="superscript"/>
          <w:lang w:val="es-ES_tradnl"/>
        </w:rPr>
      </w:pPr>
      <w:r w:rsidRPr="00BF4538">
        <w:rPr>
          <w:rFonts w:ascii="Arial" w:eastAsia="Times New Roman" w:hAnsi="Arial" w:cs="Arial"/>
          <w:sz w:val="24"/>
          <w:szCs w:val="24"/>
          <w:lang w:val="es-ES_tradnl"/>
        </w:rPr>
        <w:t>Al igual un estudio de 89 pacientes hospitalizados con UPD y posteriormente seguidos durante 6,5 años de manera prospectiva en el Hospital de la Universidad de Montpellier, Francia, mostró medias de edades menos avanzadas (63,3 y 58,5 para fallecidos y vivos respectivamente) al compararlas con las obtenidas en nuestro estudio.</w:t>
      </w:r>
      <w:r w:rsidRPr="00BF4538">
        <w:rPr>
          <w:rFonts w:ascii="Arial" w:eastAsia="Times New Roman" w:hAnsi="Arial" w:cs="Arial"/>
          <w:sz w:val="24"/>
          <w:szCs w:val="24"/>
          <w:vertAlign w:val="superscript"/>
          <w:lang w:val="es-ES_tradnl"/>
        </w:rPr>
        <w:t>37</w:t>
      </w:r>
    </w:p>
    <w:p w:rsidR="00BF4538" w:rsidRPr="00BF4538" w:rsidRDefault="00BF4538"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vertAlign w:val="superscript"/>
          <w:lang w:val="es-ES_tradnl"/>
        </w:rPr>
      </w:pPr>
      <w:r w:rsidRPr="00BF4538">
        <w:rPr>
          <w:rFonts w:ascii="Arial" w:eastAsia="Times New Roman" w:hAnsi="Arial" w:cs="Arial"/>
          <w:sz w:val="24"/>
          <w:szCs w:val="24"/>
          <w:lang w:val="es-ES_tradnl"/>
        </w:rPr>
        <w:t>En el Reino Unido, de una cohorte de 414 523 diabéticos seguidos entre el 2003 y el 2012, se destaca un subgrupo de 20 737 casos con UPD, uno de los más numerosos a nivel mundial. En dicho estudio las medias de edades de los casos con UPD eran de 62,4 al diagnóstico y de 67,9 al fallecer; también mucho más tempranas que las del actual estudio.</w:t>
      </w:r>
      <w:r w:rsidRPr="00BF4538">
        <w:rPr>
          <w:rFonts w:ascii="Arial" w:eastAsia="Times New Roman" w:hAnsi="Arial" w:cs="Arial"/>
          <w:sz w:val="24"/>
          <w:szCs w:val="24"/>
          <w:vertAlign w:val="superscript"/>
          <w:lang w:val="es-ES_tradnl"/>
        </w:rPr>
        <w:t>38</w:t>
      </w:r>
    </w:p>
    <w:p w:rsidR="00BF4538" w:rsidRPr="00BF4538" w:rsidRDefault="00BF4538" w:rsidP="00BF4538">
      <w:pPr>
        <w:spacing w:after="0" w:line="360" w:lineRule="auto"/>
        <w:jc w:val="both"/>
        <w:rPr>
          <w:rFonts w:ascii="Arial" w:eastAsia="Times New Roman" w:hAnsi="Arial" w:cs="Arial"/>
          <w:sz w:val="24"/>
          <w:szCs w:val="24"/>
          <w:vertAlign w:val="superscript"/>
          <w:lang w:val="es-ES_tradnl"/>
        </w:rPr>
      </w:pPr>
      <w:r w:rsidRPr="00BF4538">
        <w:rPr>
          <w:rFonts w:ascii="Arial" w:eastAsia="Times New Roman" w:hAnsi="Arial" w:cs="Arial"/>
          <w:sz w:val="24"/>
          <w:szCs w:val="24"/>
          <w:lang w:val="es-ES_tradnl"/>
        </w:rPr>
        <w:t xml:space="preserve">En una búsqueda posterior de meta-análisis se evidenció que la mayoría de las series presentan edades de debut con UPD y de fallecimiento más tempranas que las de los </w:t>
      </w:r>
      <w:r w:rsidRPr="00BF4538">
        <w:rPr>
          <w:rFonts w:ascii="Arial" w:eastAsia="Times New Roman" w:hAnsi="Arial" w:cs="Arial"/>
          <w:sz w:val="24"/>
          <w:szCs w:val="24"/>
          <w:lang w:val="es-ES_tradnl"/>
        </w:rPr>
        <w:lastRenderedPageBreak/>
        <w:t>pacientes del actual estudio. Los totales estudiados suelen ser mayores pero varias investigaciones tenían cifras de pacientes similares a este. Queda por ver si el actual resultado se debe a fluctuaciones aleatorias debidas al pequeño número de casos o realmente son resultados mucho más positivos que los referidos de manera general en la literatura consultada.</w:t>
      </w:r>
      <w:r w:rsidRPr="00BF4538">
        <w:rPr>
          <w:rFonts w:ascii="Arial" w:eastAsia="Times New Roman" w:hAnsi="Arial" w:cs="Arial"/>
          <w:sz w:val="24"/>
          <w:szCs w:val="24"/>
          <w:vertAlign w:val="superscript"/>
          <w:lang w:val="es-ES_tradnl"/>
        </w:rPr>
        <w:t>39, 40</w:t>
      </w:r>
    </w:p>
    <w:p w:rsidR="00BF4538" w:rsidRPr="00BF4538" w:rsidRDefault="00BF4538" w:rsidP="00BF4538">
      <w:pPr>
        <w:spacing w:after="0" w:line="360" w:lineRule="auto"/>
        <w:jc w:val="both"/>
        <w:rPr>
          <w:rFonts w:ascii="Arial" w:eastAsia="Times New Roman" w:hAnsi="Arial" w:cs="Arial"/>
          <w:sz w:val="24"/>
          <w:szCs w:val="24"/>
          <w:vertAlign w:val="superscript"/>
          <w:lang w:val="es-ES_tradnl"/>
        </w:rPr>
      </w:pP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 xml:space="preserve">La distribución por sexo es uniforme en los casos totales; pero es llamativo que al estratificarlo entre los fallecidos y sobrevivientes hay predominio masculino en los primeros y femenino en los segundos. Tal situación se analizará posteriormente al discutir la mortalidad. </w:t>
      </w:r>
    </w:p>
    <w:p w:rsidR="00BF4538" w:rsidRPr="00BF4538" w:rsidRDefault="00BF4538"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_tradnl"/>
        </w:rPr>
        <w:t xml:space="preserve">El color de la piel tiene un predominio de blancos (87 % de la población total) al igual que en fallecidos y sobrevivientes. </w:t>
      </w:r>
      <w:r w:rsidRPr="00BF4538">
        <w:rPr>
          <w:rFonts w:ascii="Arial" w:eastAsia="Times New Roman" w:hAnsi="Arial" w:cs="Arial"/>
          <w:sz w:val="24"/>
          <w:szCs w:val="24"/>
          <w:lang w:val="es-ES"/>
        </w:rPr>
        <w:t>El 65.5 por ciento de la población cubana es blanca, sin embargo en las provincias centrales y específicamente en Sancti Spíritus predomina población blanca (83,7%) sobre otros colores de la piel. Esto podría explicar este resultado en nuestro estudio.</w:t>
      </w:r>
      <w:r w:rsidRPr="00BF4538">
        <w:rPr>
          <w:rFonts w:ascii="Arial" w:eastAsia="Times New Roman" w:hAnsi="Arial" w:cs="Arial"/>
          <w:sz w:val="24"/>
          <w:szCs w:val="24"/>
          <w:vertAlign w:val="superscript"/>
          <w:lang w:val="es-ES"/>
        </w:rPr>
        <w:t>41, 42</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La Tabla # 2 muestra las variables clínicas generales que se estudiaron en la serie de casos. </w:t>
      </w:r>
    </w:p>
    <w:p w:rsidR="00A640C5" w:rsidRDefault="00A640C5"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Tabla # 2: Variables Clínicas Generales. Pacientes con UPD y uso de Heberprot-P. Policlínico Miguel Montesino. Fomento. Sancti Spíritus. 2018-2020.</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0"/>
        <w:gridCol w:w="2269"/>
        <w:gridCol w:w="2126"/>
        <w:gridCol w:w="2240"/>
      </w:tblGrid>
      <w:tr w:rsidR="00BF4538" w:rsidRPr="00BF4538" w:rsidTr="00BF4538">
        <w:trPr>
          <w:trHeight w:val="309"/>
          <w:jc w:val="center"/>
        </w:trPr>
        <w:tc>
          <w:tcPr>
            <w:tcW w:w="3040"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Características</w:t>
            </w:r>
          </w:p>
        </w:tc>
        <w:tc>
          <w:tcPr>
            <w:tcW w:w="2269"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Población Total</w:t>
            </w:r>
          </w:p>
        </w:tc>
        <w:tc>
          <w:tcPr>
            <w:tcW w:w="212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Fallecidos</w:t>
            </w:r>
          </w:p>
        </w:tc>
        <w:tc>
          <w:tcPr>
            <w:tcW w:w="2240"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Sobrevivientes</w:t>
            </w:r>
          </w:p>
        </w:tc>
      </w:tr>
      <w:tr w:rsidR="00BF4538" w:rsidRPr="00BF4538" w:rsidTr="00BF4538">
        <w:trPr>
          <w:trHeight w:val="309"/>
          <w:jc w:val="center"/>
        </w:trPr>
        <w:tc>
          <w:tcPr>
            <w:tcW w:w="3040" w:type="dxa"/>
            <w:vMerge w:val="restart"/>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Tipo de D. Mellitus (1/2)</w:t>
            </w:r>
          </w:p>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Distribución Porcentual</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0/92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0/14</w:t>
            </w:r>
          </w:p>
        </w:tc>
        <w:tc>
          <w:tcPr>
            <w:tcW w:w="2240"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0/78</w:t>
            </w:r>
          </w:p>
        </w:tc>
      </w:tr>
      <w:tr w:rsidR="00BF4538" w:rsidRPr="00BF4538" w:rsidTr="00BF4538">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0 % /100 %</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0 % /100 %</w:t>
            </w:r>
          </w:p>
        </w:tc>
        <w:tc>
          <w:tcPr>
            <w:tcW w:w="2240"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0 % /100 %</w:t>
            </w:r>
          </w:p>
        </w:tc>
      </w:tr>
      <w:tr w:rsidR="00BF4538" w:rsidRPr="00BF4538" w:rsidTr="00BF4538">
        <w:trPr>
          <w:trHeight w:val="687"/>
          <w:jc w:val="center"/>
        </w:trPr>
        <w:tc>
          <w:tcPr>
            <w:tcW w:w="3040"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Años con Diabetes M.</w:t>
            </w:r>
          </w:p>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Media y Rango (años)</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m=20.2 años       R (10 años y más)</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m=25.2 años</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R (10 años y más)</w:t>
            </w:r>
          </w:p>
        </w:tc>
        <w:tc>
          <w:tcPr>
            <w:tcW w:w="2240"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m=19.6 años</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R (10 años y más)</w:t>
            </w:r>
          </w:p>
        </w:tc>
      </w:tr>
      <w:tr w:rsidR="00BF4538" w:rsidRPr="00BF4538" w:rsidTr="00BF4538">
        <w:trPr>
          <w:trHeight w:val="433"/>
          <w:jc w:val="center"/>
        </w:trPr>
        <w:tc>
          <w:tcPr>
            <w:tcW w:w="3040" w:type="dxa"/>
            <w:vMerge w:val="restart"/>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Adherencia al Tratamiento (B/R/M)</w:t>
            </w:r>
          </w:p>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Distribución Porcentual</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43/29/20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3/4/7</w:t>
            </w:r>
          </w:p>
        </w:tc>
        <w:tc>
          <w:tcPr>
            <w:tcW w:w="2240"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40/25/13</w:t>
            </w:r>
          </w:p>
        </w:tc>
      </w:tr>
      <w:tr w:rsidR="00BF4538" w:rsidRPr="00BF4538" w:rsidTr="00BF4538">
        <w:trPr>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46.7 % /31.5 % /21.8%</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21.4% /28.6% /50%</w:t>
            </w:r>
          </w:p>
        </w:tc>
        <w:tc>
          <w:tcPr>
            <w:tcW w:w="2240"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51.3% /32 %/16.7%</w:t>
            </w:r>
          </w:p>
        </w:tc>
      </w:tr>
      <w:tr w:rsidR="00BF4538" w:rsidRPr="00BF4538" w:rsidTr="00BF4538">
        <w:trPr>
          <w:trHeight w:val="509"/>
          <w:jc w:val="center"/>
        </w:trPr>
        <w:tc>
          <w:tcPr>
            <w:tcW w:w="9675" w:type="dxa"/>
            <w:gridSpan w:val="4"/>
            <w:tcBorders>
              <w:top w:val="single" w:sz="4" w:space="0" w:color="auto"/>
              <w:left w:val="single" w:sz="4" w:space="0" w:color="auto"/>
              <w:bottom w:val="single" w:sz="4" w:space="0" w:color="auto"/>
              <w:right w:val="single" w:sz="4" w:space="0" w:color="auto"/>
            </w:tcBorders>
            <w:shd w:val="clear" w:color="auto" w:fill="DEEAF6"/>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Tipos de tratamiento y Distribución porcentual.</w:t>
            </w:r>
          </w:p>
        </w:tc>
      </w:tr>
      <w:tr w:rsidR="00BF4538" w:rsidRPr="00BF4538" w:rsidTr="00BF4538">
        <w:trPr>
          <w:trHeight w:val="274"/>
          <w:jc w:val="center"/>
        </w:trPr>
        <w:tc>
          <w:tcPr>
            <w:tcW w:w="304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lastRenderedPageBreak/>
              <w:t>Dieta</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0/0%</w:t>
            </w:r>
          </w:p>
        </w:tc>
        <w:tc>
          <w:tcPr>
            <w:tcW w:w="2240"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0/0%</w:t>
            </w:r>
          </w:p>
        </w:tc>
      </w:tr>
      <w:tr w:rsidR="00BF4538" w:rsidRPr="00BF4538" w:rsidTr="00BF4538">
        <w:trPr>
          <w:trHeight w:val="278"/>
          <w:jc w:val="center"/>
        </w:trPr>
        <w:tc>
          <w:tcPr>
            <w:tcW w:w="304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Dieta e Hipoglicemiantes Orales</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56/60.9 %</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9/64.3 %</w:t>
            </w:r>
          </w:p>
        </w:tc>
        <w:tc>
          <w:tcPr>
            <w:tcW w:w="2240"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47/60.3 %</w:t>
            </w:r>
          </w:p>
        </w:tc>
      </w:tr>
      <w:tr w:rsidR="00BF4538" w:rsidRPr="00BF4538" w:rsidTr="00BF4538">
        <w:trPr>
          <w:trHeight w:val="509"/>
          <w:jc w:val="center"/>
        </w:trPr>
        <w:tc>
          <w:tcPr>
            <w:tcW w:w="304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Dieta, Hipoglicemiantes e Insulina</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15/16.3 %</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3/21.4 %</w:t>
            </w:r>
          </w:p>
        </w:tc>
        <w:tc>
          <w:tcPr>
            <w:tcW w:w="2240"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12/15.4 %</w:t>
            </w:r>
          </w:p>
        </w:tc>
      </w:tr>
      <w:tr w:rsidR="00BF4538" w:rsidRPr="00BF4538" w:rsidTr="00BF4538">
        <w:trPr>
          <w:trHeight w:val="509"/>
          <w:jc w:val="center"/>
        </w:trPr>
        <w:tc>
          <w:tcPr>
            <w:tcW w:w="304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Dieta e Insulina</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21/22.8 %</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2/14.3 %</w:t>
            </w:r>
          </w:p>
        </w:tc>
        <w:tc>
          <w:tcPr>
            <w:tcW w:w="2240" w:type="dxa"/>
            <w:tcBorders>
              <w:top w:val="single" w:sz="4" w:space="0" w:color="auto"/>
              <w:left w:val="single" w:sz="4" w:space="0" w:color="auto"/>
              <w:bottom w:val="single" w:sz="4" w:space="0" w:color="auto"/>
              <w:right w:val="single" w:sz="4" w:space="0" w:color="auto"/>
            </w:tcBorders>
            <w:noWrap/>
            <w:vAlign w:val="bottom"/>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19/24.3 %</w:t>
            </w:r>
          </w:p>
        </w:tc>
      </w:tr>
    </w:tbl>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Fuente: Historias Clínicas Individuales. Registro del PAIPUD Sancti Spíritus.</w:t>
      </w:r>
    </w:p>
    <w:p w:rsidR="00BF4538" w:rsidRPr="00BF4538" w:rsidRDefault="00BF4538" w:rsidP="00BF4538">
      <w:pPr>
        <w:spacing w:after="0" w:line="360" w:lineRule="auto"/>
        <w:jc w:val="both"/>
        <w:rPr>
          <w:rFonts w:ascii="Arial" w:eastAsia="Times New Roman" w:hAnsi="Arial" w:cs="Arial"/>
          <w:sz w:val="24"/>
          <w:szCs w:val="24"/>
          <w:vertAlign w:val="superscript"/>
          <w:lang w:val="es-ES"/>
        </w:rPr>
      </w:pPr>
      <w:r w:rsidRPr="00BF4538">
        <w:rPr>
          <w:rFonts w:ascii="Arial" w:eastAsia="Times New Roman" w:hAnsi="Arial" w:cs="Arial"/>
          <w:sz w:val="24"/>
          <w:szCs w:val="24"/>
          <w:lang w:val="es-ES"/>
        </w:rPr>
        <w:t>La totalidad de los pacientes presentan Diabetes Mellitus Tipo 2, tal y como describe Zimmet en el incremento epidémico de esta enfermedad.</w:t>
      </w:r>
    </w:p>
    <w:p w:rsidR="00BF4538" w:rsidRPr="00BF4538" w:rsidRDefault="00BF4538"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El tiempo de evolución con la DM es una de las variables clínicas comúnmente asociadas a la incidencia y prevalencia de las UPD. Sobre todo por la carga acumulativa de la hiperglicemia mantenida en el daño de la extremidad. Es explicable entonces que todos los casos con UPD tenían evolución de más de 10 años, y que los fallecidos tuvieran como promedio más de 25 años padeciendo Diabetes Mellitus.</w:t>
      </w:r>
      <w:r w:rsidRPr="00BF4538">
        <w:rPr>
          <w:rFonts w:ascii="Arial" w:eastAsia="Times New Roman" w:hAnsi="Arial" w:cs="Arial"/>
          <w:sz w:val="24"/>
          <w:szCs w:val="24"/>
          <w:vertAlign w:val="superscript"/>
          <w:lang w:val="es-ES_tradnl"/>
        </w:rPr>
        <w:t>43, 44</w:t>
      </w:r>
    </w:p>
    <w:p w:rsidR="00BF4538" w:rsidRPr="00BF4538" w:rsidRDefault="00BF4538"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 xml:space="preserve">La adherencia al tratamiento (Buena, Regular o Mala) sí parece ser una de las variables de mayor relación el fallecimiento. En la población total el 46.7 % de los casos tenían buena adherencia al tratamiento, mientras que entre los fallecidos solamente el 21.4 % tenía buena adherencia. Esta variable se relaciona fundamentalmente con mortalidad, por lo que se discute posteriormente. </w:t>
      </w:r>
    </w:p>
    <w:p w:rsidR="00BF4538" w:rsidRPr="00BF4538" w:rsidRDefault="00BF4538"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vertAlign w:val="superscript"/>
          <w:lang w:val="es-ES_tradnl"/>
        </w:rPr>
      </w:pPr>
      <w:r w:rsidRPr="00BF4538">
        <w:rPr>
          <w:rFonts w:ascii="Arial" w:eastAsia="Times New Roman" w:hAnsi="Arial" w:cs="Arial"/>
          <w:sz w:val="24"/>
          <w:szCs w:val="24"/>
          <w:lang w:val="es-ES_tradnl"/>
        </w:rPr>
        <w:t>En cuanto al tipo de tratamiento que más tenían los pacientes, existe un amplio predominio del uso de la combinación de dieta e hipoglucemiantes orales, independientemente de que el caso estuviera o no fallecido (60.9 % del total de casos de la serie). En estudios similares internacionalmente, predomina precisamente el uso de insulina en más del 60% del total de casos y sobre todo en los casos fallecidos, al momento de su fallecimiento, como mejor manera de controlar la glucemia .</w:t>
      </w:r>
      <w:r w:rsidRPr="00BF4538">
        <w:rPr>
          <w:rFonts w:ascii="Arial" w:eastAsia="Times New Roman" w:hAnsi="Arial" w:cs="Arial"/>
          <w:sz w:val="24"/>
          <w:szCs w:val="24"/>
          <w:vertAlign w:val="superscript"/>
          <w:lang w:val="es-ES_tradnl"/>
        </w:rPr>
        <w:t xml:space="preserve">36,38,43,44 </w:t>
      </w:r>
    </w:p>
    <w:p w:rsidR="00BF4538" w:rsidRPr="00BF4538" w:rsidRDefault="00BF4538"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 xml:space="preserve">Sin embargo la situación es coincidente con lo planteado en la literatura nacional. Numerosos estudios realizados en un área de salud refieren que solo el 30% de los </w:t>
      </w:r>
      <w:r w:rsidRPr="00BF4538">
        <w:rPr>
          <w:rFonts w:ascii="Arial" w:eastAsia="Times New Roman" w:hAnsi="Arial" w:cs="Arial"/>
          <w:sz w:val="24"/>
          <w:szCs w:val="24"/>
          <w:lang w:val="es-ES_tradnl"/>
        </w:rPr>
        <w:lastRenderedPageBreak/>
        <w:t>diabéticos usan insulina de manera permanente.</w:t>
      </w:r>
      <w:r w:rsidRPr="00BF4538">
        <w:rPr>
          <w:rFonts w:ascii="Arial" w:eastAsia="Times New Roman" w:hAnsi="Arial" w:cs="Arial"/>
          <w:sz w:val="24"/>
          <w:szCs w:val="24"/>
          <w:vertAlign w:val="superscript"/>
          <w:lang w:val="es-ES_tradnl"/>
        </w:rPr>
        <w:t>45</w:t>
      </w:r>
      <w:r w:rsidRPr="00BF4538">
        <w:rPr>
          <w:rFonts w:ascii="Arial" w:eastAsia="Times New Roman" w:hAnsi="Arial" w:cs="Arial"/>
          <w:sz w:val="24"/>
          <w:szCs w:val="24"/>
          <w:lang w:val="es-ES_tradnl"/>
        </w:rPr>
        <w:t xml:space="preserve"> En criterio de eminentes diabetólogos cubanos como el Dr. Oscar Díaz, tal situación solamente se puede resolver con una adecuada educación terapéutica a los pacientes diabéticos que les inculque la importancia de la adecuada adherencia al tratamiento y el uso de la autoinyección de insulina como mejor variante terapéutica para controlar la glucemia.</w:t>
      </w:r>
      <w:r w:rsidRPr="00BF4538">
        <w:rPr>
          <w:rFonts w:ascii="Arial" w:eastAsia="Times New Roman" w:hAnsi="Arial" w:cs="Arial"/>
          <w:sz w:val="24"/>
          <w:szCs w:val="24"/>
          <w:vertAlign w:val="superscript"/>
          <w:lang w:val="es-ES_tradnl"/>
        </w:rPr>
        <w:t>46</w:t>
      </w:r>
    </w:p>
    <w:p w:rsidR="00BF4538" w:rsidRPr="00BF4538" w:rsidRDefault="00BF4538"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 xml:space="preserve">Las variables clínicas relacionadas con la UPD directamente son analizadas en la Tabla # 3. La mayoría de los autores utilizan precisamente estas variables como predictores de mortalidad y amputaciones en los pacientes que sufren una UPD y son seguidos. Precisamente por esta causa se incluye su análisis en este estudio. </w:t>
      </w:r>
    </w:p>
    <w:p w:rsidR="00A640C5" w:rsidRDefault="00A640C5"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Tabla # 3: Variables clínicas relacionadas con la UPD. Pacientes con UPD y uso de Heberprot-P. Policlínico Miguel Montesino. Fomento. Sancti Spíritus. 2018-2020.</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1"/>
        <w:gridCol w:w="2414"/>
        <w:gridCol w:w="1966"/>
        <w:gridCol w:w="2003"/>
      </w:tblGrid>
      <w:tr w:rsidR="00BF4538" w:rsidRPr="00BF4538" w:rsidTr="00BF4538">
        <w:trPr>
          <w:trHeight w:val="309"/>
          <w:jc w:val="center"/>
        </w:trPr>
        <w:tc>
          <w:tcPr>
            <w:tcW w:w="2701"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Característica</w:t>
            </w:r>
          </w:p>
        </w:tc>
        <w:tc>
          <w:tcPr>
            <w:tcW w:w="2414"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Población Total</w:t>
            </w:r>
          </w:p>
        </w:tc>
        <w:tc>
          <w:tcPr>
            <w:tcW w:w="196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Fallecidos</w:t>
            </w:r>
          </w:p>
        </w:tc>
        <w:tc>
          <w:tcPr>
            <w:tcW w:w="2003"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Sobrevivientes</w:t>
            </w:r>
          </w:p>
        </w:tc>
      </w:tr>
      <w:tr w:rsidR="00BF4538" w:rsidRPr="00BF4538" w:rsidTr="00BF4538">
        <w:trPr>
          <w:trHeight w:val="562"/>
          <w:jc w:val="center"/>
        </w:trPr>
        <w:tc>
          <w:tcPr>
            <w:tcW w:w="2701" w:type="dxa"/>
            <w:vMerge w:val="restart"/>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Etiología (N. Inf.Isq.Mixto)</w:t>
            </w:r>
          </w:p>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Distribución Porcentual</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91/1/0</w:t>
            </w:r>
          </w:p>
        </w:tc>
        <w:tc>
          <w:tcPr>
            <w:tcW w:w="196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14/0/0</w:t>
            </w:r>
          </w:p>
        </w:tc>
        <w:tc>
          <w:tcPr>
            <w:tcW w:w="2003"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77/1/0</w:t>
            </w:r>
          </w:p>
        </w:tc>
      </w:tr>
      <w:tr w:rsidR="00BF4538" w:rsidRPr="00BF4538" w:rsidTr="00BF4538">
        <w:trPr>
          <w:trHeight w:val="579"/>
          <w:jc w:val="center"/>
        </w:trPr>
        <w:tc>
          <w:tcPr>
            <w:tcW w:w="2701" w:type="dxa"/>
            <w:vMerge/>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98.9% /1.1 %/0%</w:t>
            </w:r>
          </w:p>
        </w:tc>
        <w:tc>
          <w:tcPr>
            <w:tcW w:w="196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100 %/0 % /0 %</w:t>
            </w:r>
          </w:p>
        </w:tc>
        <w:tc>
          <w:tcPr>
            <w:tcW w:w="2003"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98.7 %/1.3 %/0%</w:t>
            </w:r>
          </w:p>
        </w:tc>
      </w:tr>
      <w:tr w:rsidR="00BF4538" w:rsidRPr="00BF4538" w:rsidTr="00BF4538">
        <w:trPr>
          <w:trHeight w:val="534"/>
          <w:jc w:val="center"/>
        </w:trPr>
        <w:tc>
          <w:tcPr>
            <w:tcW w:w="9084" w:type="dxa"/>
            <w:gridSpan w:val="4"/>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Clasificación de Wagner.</w:t>
            </w:r>
          </w:p>
        </w:tc>
      </w:tr>
      <w:tr w:rsidR="00BF4538" w:rsidRPr="00BF4538" w:rsidTr="00BF4538">
        <w:trPr>
          <w:trHeight w:val="453"/>
          <w:jc w:val="center"/>
        </w:trPr>
        <w:tc>
          <w:tcPr>
            <w:tcW w:w="2701"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Wagner 1</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38/41.3 %</w:t>
            </w:r>
          </w:p>
        </w:tc>
        <w:tc>
          <w:tcPr>
            <w:tcW w:w="196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9/64.3%</w:t>
            </w:r>
          </w:p>
        </w:tc>
        <w:tc>
          <w:tcPr>
            <w:tcW w:w="2003"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29/37.2 %</w:t>
            </w:r>
          </w:p>
        </w:tc>
      </w:tr>
      <w:tr w:rsidR="00BF4538" w:rsidRPr="00BF4538" w:rsidTr="00BF4538">
        <w:trPr>
          <w:trHeight w:val="604"/>
          <w:jc w:val="center"/>
        </w:trPr>
        <w:tc>
          <w:tcPr>
            <w:tcW w:w="2701"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Wagner 2</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41/44.6 %</w:t>
            </w:r>
          </w:p>
        </w:tc>
        <w:tc>
          <w:tcPr>
            <w:tcW w:w="196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3/21.4 %</w:t>
            </w:r>
          </w:p>
        </w:tc>
        <w:tc>
          <w:tcPr>
            <w:tcW w:w="2003"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38/48.7 %</w:t>
            </w:r>
          </w:p>
        </w:tc>
      </w:tr>
      <w:tr w:rsidR="00BF4538" w:rsidRPr="00BF4538" w:rsidTr="00BF4538">
        <w:trPr>
          <w:trHeight w:val="414"/>
          <w:jc w:val="center"/>
        </w:trPr>
        <w:tc>
          <w:tcPr>
            <w:tcW w:w="2701" w:type="dxa"/>
            <w:tcBorders>
              <w:top w:val="single" w:sz="4" w:space="0" w:color="auto"/>
              <w:left w:val="single" w:sz="4" w:space="0" w:color="auto"/>
              <w:bottom w:val="single" w:sz="4" w:space="0" w:color="auto"/>
              <w:right w:val="single" w:sz="4" w:space="0" w:color="auto"/>
            </w:tcBorders>
            <w:shd w:val="clear" w:color="auto" w:fill="DEEAF6"/>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eastAsia="es-ES"/>
              </w:rPr>
              <w:t>Wagner 3</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12/13 %</w:t>
            </w:r>
          </w:p>
        </w:tc>
        <w:tc>
          <w:tcPr>
            <w:tcW w:w="196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2/14.3 %</w:t>
            </w:r>
          </w:p>
        </w:tc>
        <w:tc>
          <w:tcPr>
            <w:tcW w:w="2003"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10/12.8 %</w:t>
            </w:r>
          </w:p>
        </w:tc>
      </w:tr>
      <w:tr w:rsidR="00BF4538" w:rsidRPr="00BF4538" w:rsidTr="00BF4538">
        <w:trPr>
          <w:trHeight w:val="509"/>
          <w:jc w:val="center"/>
        </w:trPr>
        <w:tc>
          <w:tcPr>
            <w:tcW w:w="2701" w:type="dxa"/>
            <w:tcBorders>
              <w:top w:val="single" w:sz="4" w:space="0" w:color="auto"/>
              <w:left w:val="single" w:sz="4" w:space="0" w:color="auto"/>
              <w:bottom w:val="single" w:sz="4" w:space="0" w:color="auto"/>
              <w:right w:val="single" w:sz="4" w:space="0" w:color="auto"/>
            </w:tcBorders>
            <w:shd w:val="clear" w:color="auto" w:fill="DEEAF6"/>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eastAsia="es-ES"/>
              </w:rPr>
              <w:t>Wagner 4</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0/0%</w:t>
            </w:r>
          </w:p>
        </w:tc>
        <w:tc>
          <w:tcPr>
            <w:tcW w:w="196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0/0 %</w:t>
            </w:r>
          </w:p>
        </w:tc>
        <w:tc>
          <w:tcPr>
            <w:tcW w:w="2003"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1/1.3 %</w:t>
            </w:r>
          </w:p>
        </w:tc>
      </w:tr>
      <w:tr w:rsidR="00BF4538" w:rsidRPr="00BF4538" w:rsidTr="00BF4538">
        <w:trPr>
          <w:trHeight w:val="509"/>
          <w:jc w:val="center"/>
        </w:trPr>
        <w:tc>
          <w:tcPr>
            <w:tcW w:w="2701" w:type="dxa"/>
            <w:tcBorders>
              <w:top w:val="single" w:sz="4" w:space="0" w:color="auto"/>
              <w:left w:val="single" w:sz="4" w:space="0" w:color="auto"/>
              <w:bottom w:val="single" w:sz="4" w:space="0" w:color="auto"/>
              <w:right w:val="single" w:sz="4" w:space="0" w:color="auto"/>
            </w:tcBorders>
            <w:shd w:val="clear" w:color="auto" w:fill="DEEAF6"/>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Wagner 5</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1/1.1 %</w:t>
            </w:r>
          </w:p>
        </w:tc>
        <w:tc>
          <w:tcPr>
            <w:tcW w:w="196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0/0 %</w:t>
            </w:r>
          </w:p>
        </w:tc>
        <w:tc>
          <w:tcPr>
            <w:tcW w:w="2003"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0/0 %</w:t>
            </w:r>
          </w:p>
        </w:tc>
      </w:tr>
      <w:tr w:rsidR="00BF4538" w:rsidRPr="00BF4538" w:rsidTr="00BF4538">
        <w:trPr>
          <w:trHeight w:val="653"/>
          <w:jc w:val="center"/>
        </w:trPr>
        <w:tc>
          <w:tcPr>
            <w:tcW w:w="2701" w:type="dxa"/>
            <w:vMerge w:val="restart"/>
            <w:tcBorders>
              <w:top w:val="single" w:sz="4" w:space="0" w:color="auto"/>
              <w:left w:val="single" w:sz="4" w:space="0" w:color="auto"/>
              <w:bottom w:val="single" w:sz="4" w:space="0" w:color="auto"/>
              <w:right w:val="single" w:sz="4" w:space="0" w:color="auto"/>
            </w:tcBorders>
            <w:shd w:val="clear" w:color="auto" w:fill="DEEAF6"/>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Desenlace del tratamiento Inicial</w:t>
            </w:r>
          </w:p>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(Curación y Abandono)</w:t>
            </w:r>
          </w:p>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Distribución Porcentual</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72/20</w:t>
            </w:r>
          </w:p>
        </w:tc>
        <w:tc>
          <w:tcPr>
            <w:tcW w:w="196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11/3</w:t>
            </w:r>
          </w:p>
        </w:tc>
        <w:tc>
          <w:tcPr>
            <w:tcW w:w="2003"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61/17</w:t>
            </w:r>
          </w:p>
        </w:tc>
      </w:tr>
      <w:tr w:rsidR="00BF4538" w:rsidRPr="00BF4538" w:rsidTr="00BF4538">
        <w:trPr>
          <w:trHeight w:val="954"/>
          <w:jc w:val="center"/>
        </w:trPr>
        <w:tc>
          <w:tcPr>
            <w:tcW w:w="2701" w:type="dxa"/>
            <w:vMerge/>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78.3% /21.7%</w:t>
            </w:r>
          </w:p>
        </w:tc>
        <w:tc>
          <w:tcPr>
            <w:tcW w:w="196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78.6 %/21.4 %</w:t>
            </w:r>
          </w:p>
        </w:tc>
        <w:tc>
          <w:tcPr>
            <w:tcW w:w="2003"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78.2 %/21.8 %</w:t>
            </w:r>
          </w:p>
        </w:tc>
      </w:tr>
      <w:tr w:rsidR="00BF4538" w:rsidRPr="00BF4538" w:rsidTr="00BF4538">
        <w:trPr>
          <w:trHeight w:val="536"/>
          <w:jc w:val="center"/>
        </w:trPr>
        <w:tc>
          <w:tcPr>
            <w:tcW w:w="2701" w:type="dxa"/>
            <w:vMerge w:val="restart"/>
            <w:tcBorders>
              <w:top w:val="single" w:sz="4" w:space="0" w:color="auto"/>
              <w:left w:val="single" w:sz="4" w:space="0" w:color="auto"/>
              <w:bottom w:val="single" w:sz="4" w:space="0" w:color="auto"/>
              <w:right w:val="single" w:sz="4" w:space="0" w:color="auto"/>
            </w:tcBorders>
            <w:shd w:val="clear" w:color="auto" w:fill="DEEAF6"/>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Recidivas (Sí/No)</w:t>
            </w:r>
          </w:p>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Distribución Porcentual</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15/77</w:t>
            </w:r>
          </w:p>
        </w:tc>
        <w:tc>
          <w:tcPr>
            <w:tcW w:w="196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3/11</w:t>
            </w:r>
          </w:p>
        </w:tc>
        <w:tc>
          <w:tcPr>
            <w:tcW w:w="2003"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12/66</w:t>
            </w:r>
          </w:p>
        </w:tc>
      </w:tr>
      <w:tr w:rsidR="00BF4538" w:rsidRPr="00BF4538" w:rsidTr="00BF4538">
        <w:trPr>
          <w:trHeight w:val="482"/>
          <w:jc w:val="center"/>
        </w:trPr>
        <w:tc>
          <w:tcPr>
            <w:tcW w:w="2701" w:type="dxa"/>
            <w:vMerge/>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16.3 / 83.7 %</w:t>
            </w:r>
          </w:p>
        </w:tc>
        <w:tc>
          <w:tcPr>
            <w:tcW w:w="196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21.4 % /78.6 %</w:t>
            </w:r>
          </w:p>
        </w:tc>
        <w:tc>
          <w:tcPr>
            <w:tcW w:w="2003"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15.4 % /84.6 %</w:t>
            </w:r>
          </w:p>
        </w:tc>
      </w:tr>
    </w:tbl>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lastRenderedPageBreak/>
        <w:t xml:space="preserve">Fuente: Historias Clínicas Individuales. Registro del PAIPUD Sancti Spíritus.  </w:t>
      </w: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 xml:space="preserve">Al analizar la etiología de las UPD, llama la atención en primer lugar que en la población total de la serie de casos tiene amplio predominio la etiología neuroinfecciosa con un (98.9 %) y solo un 1.1 % de etiología isquémica; entre los fallecidos la etiología neuroinfecciosa es la única causa. </w:t>
      </w:r>
    </w:p>
    <w:p w:rsidR="00BF4538" w:rsidRPr="00BF4538" w:rsidRDefault="00BF4538"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En la literatura revisada existen notables diferencias en cuanto a esta distribución. Son muchos más los casos reportados por otros autores que son de índole isquémica. Pero el hecho de que se trate de cohortes que se iniciaron con una hospitalización explica que entre el 15% y el 75% de los casos fueran precisamente isquémicos.</w:t>
      </w:r>
      <w:r w:rsidRPr="00BF4538">
        <w:rPr>
          <w:rFonts w:ascii="Arial" w:eastAsia="Times New Roman" w:hAnsi="Arial" w:cs="Arial"/>
          <w:sz w:val="24"/>
          <w:szCs w:val="24"/>
          <w:vertAlign w:val="superscript"/>
          <w:lang w:val="es-ES_tradnl"/>
        </w:rPr>
        <w:t>47</w:t>
      </w:r>
    </w:p>
    <w:p w:rsidR="00BF4538" w:rsidRPr="00BF4538" w:rsidRDefault="00BF4538"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vertAlign w:val="superscript"/>
          <w:lang w:val="es-ES_tradnl"/>
        </w:rPr>
      </w:pPr>
      <w:r w:rsidRPr="00BF4538">
        <w:rPr>
          <w:rFonts w:ascii="Arial" w:eastAsia="Times New Roman" w:hAnsi="Arial" w:cs="Arial"/>
          <w:sz w:val="24"/>
          <w:szCs w:val="24"/>
          <w:lang w:val="es-ES_tradnl"/>
        </w:rPr>
        <w:t>En toda la literatura revisada existe coincidencia en que la gravedad de la UPD inicial y su componente isquémico son los factores predictores de muerte más importantes en los pacientes al momento del debut. Incluso algunos autores plantean un cociente de riesgo de mortalidad superior a 1,7 para los casos con componente isquémico con respecto a los que tienen etiología neuropática.</w:t>
      </w:r>
      <w:r w:rsidRPr="00BF4538">
        <w:rPr>
          <w:rFonts w:ascii="Arial" w:eastAsia="Times New Roman" w:hAnsi="Arial" w:cs="Arial"/>
          <w:sz w:val="24"/>
          <w:szCs w:val="24"/>
          <w:vertAlign w:val="superscript"/>
          <w:lang w:val="es-ES_tradnl"/>
        </w:rPr>
        <w:t>48</w:t>
      </w:r>
    </w:p>
    <w:p w:rsidR="00BF4538" w:rsidRPr="00BF4538" w:rsidRDefault="00BF4538"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 xml:space="preserve">Sin embargo en esta serie de casos no existe coincidencia con lo referido anteriormente, dado que todos los casos fallecidos fueron neuropáticos. Tal situación puede deberse al tamaño de la serie y el período de seguimiento. </w:t>
      </w:r>
    </w:p>
    <w:p w:rsidR="00BF4538" w:rsidRPr="00BF4538" w:rsidRDefault="00BF4538"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 xml:space="preserve">Con respecto a la Clasificación de Wagner, que da la gravedad de la lesión inicial, en esta serie de casos predomina el Wagner 2, como es de esperar en un estudio realizado en la APS. Este tipo de lesiones se caracterizan por su amplia área y profundidad, pero sin estar complicadas con infecciones. Tal predominio se mantiene al estratificar la serie entre vivos y fallecidos. De igual manera la distribución entre los fallecidos de la suma de las lesiones complejas (Wagner 3 y 4) representa el 14,3% del total, mientras en los que sobreviven es del 14.1 %. </w:t>
      </w: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 xml:space="preserve">Igualmente con respecto al desenlace de la lesión inicialmente tratada, en la población general hay 20 abandonos y entre los fallecidos 3. La amplia mayoría de los casos curó al momento de terminar el tratamiento. </w:t>
      </w:r>
    </w:p>
    <w:p w:rsidR="00BF4538" w:rsidRPr="00BF4538" w:rsidRDefault="00BF4538"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 xml:space="preserve">Las recidivas tienen similar distribución entre la población total y los casos estratificados como sobrevivientes, sin embargo entre los fallecidos aparece una menor cantidad ,3 casos que representan el 21.4 % del total de este grupo. </w:t>
      </w:r>
    </w:p>
    <w:p w:rsidR="00BF4538" w:rsidRPr="00BF4538" w:rsidRDefault="00BF4538"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En la tabla # 4 se ofrecen las principales complicaciones crónicas relacionadas con la DM identificadas con los casos estudiados. Las complicaciones crónicas de la DM no son solamente un indicador de la progresión de la enfermedad, sino del control metabólico previo y la calidad de la atención recibida por los pacientes hasta debutar con dichas complicaciones.</w:t>
      </w:r>
      <w:r w:rsidRPr="00BF4538">
        <w:rPr>
          <w:rFonts w:ascii="Arial" w:eastAsia="Times New Roman" w:hAnsi="Arial" w:cs="Arial"/>
          <w:sz w:val="24"/>
          <w:szCs w:val="24"/>
          <w:vertAlign w:val="superscript"/>
          <w:lang w:val="es-ES_tradnl"/>
        </w:rPr>
        <w:t>48, 49</w:t>
      </w:r>
    </w:p>
    <w:p w:rsidR="00A640C5" w:rsidRDefault="00A640C5"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Tabla # 4: Aparición de complicaciones. Pacientes con UPD y uso de Heberprot-P. Policlínico Miguel Montesino. Fomento. Sancti Spíritus. 2018-2020.</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2"/>
        <w:gridCol w:w="1276"/>
        <w:gridCol w:w="1417"/>
        <w:gridCol w:w="1276"/>
        <w:gridCol w:w="1276"/>
        <w:gridCol w:w="1103"/>
        <w:gridCol w:w="1165"/>
      </w:tblGrid>
      <w:tr w:rsidR="00BF4538" w:rsidRPr="00BF4538" w:rsidTr="00BF4538">
        <w:trPr>
          <w:trHeight w:val="796"/>
          <w:jc w:val="center"/>
        </w:trPr>
        <w:tc>
          <w:tcPr>
            <w:tcW w:w="171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Complicación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Población Total</w:t>
            </w:r>
          </w:p>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No. y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Fallecidos</w:t>
            </w:r>
          </w:p>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No. y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Sobrevivientes</w:t>
            </w:r>
          </w:p>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No. y %</w:t>
            </w:r>
          </w:p>
        </w:tc>
      </w:tr>
      <w:tr w:rsidR="00BF4538" w:rsidRPr="00BF4538" w:rsidTr="00BF4538">
        <w:trPr>
          <w:trHeight w:val="547"/>
          <w:jc w:val="center"/>
        </w:trPr>
        <w:tc>
          <w:tcPr>
            <w:tcW w:w="171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Retinopatía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19.6 %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50.0 %</w:t>
            </w:r>
          </w:p>
        </w:tc>
        <w:tc>
          <w:tcPr>
            <w:tcW w:w="1103"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11</w:t>
            </w:r>
          </w:p>
        </w:tc>
        <w:tc>
          <w:tcPr>
            <w:tcW w:w="1165" w:type="dxa"/>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14.1 %</w:t>
            </w:r>
          </w:p>
        </w:tc>
      </w:tr>
      <w:tr w:rsidR="00BF4538" w:rsidRPr="00BF4538" w:rsidTr="00BF4538">
        <w:trPr>
          <w:trHeight w:val="547"/>
          <w:jc w:val="center"/>
        </w:trPr>
        <w:tc>
          <w:tcPr>
            <w:tcW w:w="171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Neuropatía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16.3 %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21.4 %</w:t>
            </w:r>
          </w:p>
        </w:tc>
        <w:tc>
          <w:tcPr>
            <w:tcW w:w="1103"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12</w:t>
            </w:r>
          </w:p>
        </w:tc>
        <w:tc>
          <w:tcPr>
            <w:tcW w:w="1165" w:type="dxa"/>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15.4 %</w:t>
            </w:r>
          </w:p>
        </w:tc>
      </w:tr>
      <w:tr w:rsidR="00BF4538" w:rsidRPr="00BF4538" w:rsidTr="00BF4538">
        <w:trPr>
          <w:trHeight w:val="599"/>
          <w:jc w:val="center"/>
        </w:trPr>
        <w:tc>
          <w:tcPr>
            <w:tcW w:w="171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Cardiopatía Isquémica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23.9 %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28.6 %</w:t>
            </w:r>
          </w:p>
        </w:tc>
        <w:tc>
          <w:tcPr>
            <w:tcW w:w="1103"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18</w:t>
            </w:r>
          </w:p>
        </w:tc>
        <w:tc>
          <w:tcPr>
            <w:tcW w:w="1165" w:type="dxa"/>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23.1 %</w:t>
            </w:r>
          </w:p>
        </w:tc>
      </w:tr>
      <w:tr w:rsidR="00BF4538" w:rsidRPr="00BF4538" w:rsidTr="00BF4538">
        <w:trPr>
          <w:trHeight w:val="599"/>
          <w:jc w:val="center"/>
        </w:trPr>
        <w:tc>
          <w:tcPr>
            <w:tcW w:w="171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Nefropatía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14.1 %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0 %</w:t>
            </w:r>
          </w:p>
        </w:tc>
        <w:tc>
          <w:tcPr>
            <w:tcW w:w="1103"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13</w:t>
            </w:r>
          </w:p>
        </w:tc>
        <w:tc>
          <w:tcPr>
            <w:tcW w:w="1165" w:type="dxa"/>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16.7 %</w:t>
            </w:r>
          </w:p>
        </w:tc>
      </w:tr>
      <w:tr w:rsidR="00BF4538" w:rsidRPr="00BF4538" w:rsidTr="00BF4538">
        <w:trPr>
          <w:trHeight w:val="599"/>
          <w:jc w:val="center"/>
        </w:trPr>
        <w:tc>
          <w:tcPr>
            <w:tcW w:w="171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Amputación menor</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13.0 %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14.3 %</w:t>
            </w:r>
          </w:p>
        </w:tc>
        <w:tc>
          <w:tcPr>
            <w:tcW w:w="1103"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10</w:t>
            </w:r>
          </w:p>
        </w:tc>
        <w:tc>
          <w:tcPr>
            <w:tcW w:w="1165" w:type="dxa"/>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12.8 %</w:t>
            </w:r>
          </w:p>
        </w:tc>
      </w:tr>
      <w:tr w:rsidR="00BF4538" w:rsidRPr="00BF4538" w:rsidTr="00BF4538">
        <w:trPr>
          <w:trHeight w:val="599"/>
          <w:jc w:val="center"/>
        </w:trPr>
        <w:tc>
          <w:tcPr>
            <w:tcW w:w="171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Amputación mayor</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2.2 %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7.1 %</w:t>
            </w:r>
          </w:p>
        </w:tc>
        <w:tc>
          <w:tcPr>
            <w:tcW w:w="1103"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w:t>
            </w:r>
          </w:p>
        </w:tc>
        <w:tc>
          <w:tcPr>
            <w:tcW w:w="1165" w:type="dxa"/>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1.3 %</w:t>
            </w:r>
          </w:p>
        </w:tc>
      </w:tr>
      <w:tr w:rsidR="00BF4538" w:rsidRPr="00BF4538" w:rsidTr="00BF4538">
        <w:trPr>
          <w:trHeight w:val="599"/>
          <w:jc w:val="center"/>
        </w:trPr>
        <w:tc>
          <w:tcPr>
            <w:tcW w:w="171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AVE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1.1 %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0 %</w:t>
            </w:r>
          </w:p>
        </w:tc>
        <w:tc>
          <w:tcPr>
            <w:tcW w:w="1103"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w:t>
            </w:r>
          </w:p>
        </w:tc>
        <w:tc>
          <w:tcPr>
            <w:tcW w:w="1165" w:type="dxa"/>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1.3 %</w:t>
            </w:r>
          </w:p>
        </w:tc>
      </w:tr>
      <w:tr w:rsidR="00BF4538" w:rsidRPr="00BF4538" w:rsidTr="00BF4538">
        <w:trPr>
          <w:trHeight w:val="599"/>
          <w:jc w:val="center"/>
        </w:trPr>
        <w:tc>
          <w:tcPr>
            <w:tcW w:w="171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No referidas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15.2 %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14.3 %</w:t>
            </w:r>
          </w:p>
        </w:tc>
        <w:tc>
          <w:tcPr>
            <w:tcW w:w="1103" w:type="dxa"/>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12</w:t>
            </w:r>
          </w:p>
        </w:tc>
        <w:tc>
          <w:tcPr>
            <w:tcW w:w="1165" w:type="dxa"/>
            <w:tcBorders>
              <w:top w:val="single" w:sz="4" w:space="0" w:color="auto"/>
              <w:left w:val="single" w:sz="4" w:space="0" w:color="auto"/>
              <w:bottom w:val="single" w:sz="4" w:space="0" w:color="auto"/>
              <w:right w:val="single" w:sz="4" w:space="0" w:color="auto"/>
            </w:tcBorders>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15.4 %</w:t>
            </w:r>
          </w:p>
        </w:tc>
      </w:tr>
    </w:tbl>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 xml:space="preserve">Fuente: Historias Clínicas Individuales. Registro del PAIPUD Sancti Spíritus.  </w:t>
      </w: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 xml:space="preserve">Solamente en el 15.2 % de los pacientes estudiados no se constató ninguna complicación crónica en el momento de la revisión y dadas las características de esta investigación no </w:t>
      </w:r>
      <w:r w:rsidRPr="00BF4538">
        <w:rPr>
          <w:rFonts w:ascii="Arial" w:eastAsia="Times New Roman" w:hAnsi="Arial" w:cs="Arial"/>
          <w:sz w:val="24"/>
          <w:szCs w:val="24"/>
          <w:lang w:val="es-ES_tradnl"/>
        </w:rPr>
        <w:lastRenderedPageBreak/>
        <w:t>se pudo profundizar en la búsqueda entre estos casos de algún daño crónico. Llama la atención el preponderante papel de la Cardiopatía Isquémica (23.9% de la población total), como evidencia de los daños en la macrocirculación del diabético y de manera coincidente con múltiples estudios nacionales e internacionales.</w:t>
      </w:r>
      <w:r w:rsidRPr="00BF4538">
        <w:rPr>
          <w:rFonts w:ascii="Arial" w:eastAsia="Times New Roman" w:hAnsi="Arial" w:cs="Arial"/>
          <w:sz w:val="24"/>
          <w:szCs w:val="24"/>
          <w:vertAlign w:val="superscript"/>
          <w:lang w:val="es-ES_tradnl"/>
        </w:rPr>
        <w:t>50</w:t>
      </w:r>
    </w:p>
    <w:p w:rsidR="00BF4538" w:rsidRPr="00BF4538" w:rsidRDefault="00BF4538"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La segunda complicación en orden de aparición fue la Retinopatía Diabética, presente en el 19.6 % de los casos de esta serie. Dado que tanto la UPD como el daño de la retina son evidencia de la afectación de la microcirculación es de esperar asociación entre las dos entidades entre los casos diabéticos de avanzada evolución.</w:t>
      </w:r>
      <w:r w:rsidRPr="00BF4538">
        <w:rPr>
          <w:rFonts w:ascii="Arial" w:eastAsia="Times New Roman" w:hAnsi="Arial" w:cs="Arial"/>
          <w:sz w:val="24"/>
          <w:szCs w:val="24"/>
          <w:vertAlign w:val="superscript"/>
          <w:lang w:val="es-ES_tradnl"/>
        </w:rPr>
        <w:t>51, 52</w:t>
      </w:r>
    </w:p>
    <w:p w:rsidR="00BF4538" w:rsidRPr="00BF4538" w:rsidRDefault="00BF4538"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En un estudio de 2496 casos con UPD buscando asociación con Retinopatía Diabética en Korea, se encontró que el 90% de los pacientes presentaban la manifestación ocular. Sin embargo el 55% de ellos la tenían de la forma proliferativa, que es la que más comúnmente se logra diagnosticar en nuestro medio. Tal situación excede los resultados de esta serie, pero debe tenerse en cuenta que el diseño del estudio no permitió profundizar en muchas de las complicaciones al no tener instrumental en las visitas de terreno realizadas.</w:t>
      </w:r>
      <w:r w:rsidRPr="00BF4538">
        <w:rPr>
          <w:rFonts w:ascii="Arial" w:eastAsia="Times New Roman" w:hAnsi="Arial" w:cs="Arial"/>
          <w:sz w:val="24"/>
          <w:szCs w:val="24"/>
          <w:vertAlign w:val="superscript"/>
          <w:lang w:val="es-ES_tradnl"/>
        </w:rPr>
        <w:t>53</w:t>
      </w:r>
    </w:p>
    <w:p w:rsidR="00BF4538" w:rsidRPr="00BF4538" w:rsidRDefault="00BF4538"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Desde la misma definición de pie diabético se implica la etiología neuropática de cualquiera de las lesiones, independientemente de que algunas de ellas tengan componente isquémico. Si solamente el 16.3 % de los casos fueron neuropático, el resto de los tratados en esta serie que refieren no tener neuropatía probablemente no fueron suficientemente bien examinados o no se pudo registrar en la documentación disponible para el estudio. Recordemos que el componente neuropático siempre está asociado a una UPD.</w:t>
      </w:r>
      <w:r w:rsidRPr="00BF4538">
        <w:rPr>
          <w:rFonts w:ascii="Arial" w:eastAsia="Times New Roman" w:hAnsi="Arial" w:cs="Arial"/>
          <w:sz w:val="24"/>
          <w:szCs w:val="24"/>
          <w:vertAlign w:val="superscript"/>
          <w:lang w:val="es-ES_tradnl"/>
        </w:rPr>
        <w:t>54</w:t>
      </w:r>
    </w:p>
    <w:p w:rsidR="00BF4538" w:rsidRPr="00BF4538" w:rsidRDefault="00BF4538"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 xml:space="preserve">Resulta asimismo muy llamativo el tema de las amputaciones mayores. En la población total su tasa fue del 2.2 % en el período de estudio. En múltiples series de casos estudiados que siguen la evolución al menos 5 años, las cifras oscilan entre el 10% y el 76% de los pacientes con amputaciones mayores. Los mejores resultados en países desarrollados con atención multidisciplinaria a los casos logran 10,1% (Francia)o China </w:t>
      </w:r>
      <w:r w:rsidRPr="00BF4538">
        <w:rPr>
          <w:rFonts w:ascii="Arial" w:eastAsia="Times New Roman" w:hAnsi="Arial" w:cs="Arial"/>
          <w:sz w:val="24"/>
          <w:szCs w:val="24"/>
          <w:lang w:val="es-ES_tradnl"/>
        </w:rPr>
        <w:lastRenderedPageBreak/>
        <w:t>con una tasa total de amputaciones de 11,3% del 2004 al 2013 .Sin embargo en países con menos desarrollo presentan cifras escalofriantes que oscilan entre 56,7% en Tanzania y 76,9% en La India.</w:t>
      </w:r>
      <w:r w:rsidRPr="00BF4538">
        <w:rPr>
          <w:rFonts w:ascii="Arial" w:eastAsia="Times New Roman" w:hAnsi="Arial" w:cs="Arial"/>
          <w:sz w:val="24"/>
          <w:szCs w:val="24"/>
          <w:vertAlign w:val="superscript"/>
          <w:lang w:val="es-ES_tradnl"/>
        </w:rPr>
        <w:t>55</w:t>
      </w:r>
    </w:p>
    <w:p w:rsidR="00BF4538" w:rsidRPr="00BF4538" w:rsidRDefault="00BF4538"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vertAlign w:val="superscript"/>
          <w:lang w:val="es-ES_tradnl"/>
        </w:rPr>
      </w:pPr>
      <w:r w:rsidRPr="00BF4538">
        <w:rPr>
          <w:rFonts w:ascii="Arial" w:eastAsia="Times New Roman" w:hAnsi="Arial" w:cs="Arial"/>
          <w:sz w:val="24"/>
          <w:szCs w:val="24"/>
          <w:lang w:val="es-ES_tradnl"/>
        </w:rPr>
        <w:t>Los resultados de esta serie de casos son consistentes y similares a los estudios cubanos desde el advenimiento del Heberprot-P. Todos ellos refieren cifras de amputaciones mayores inferiores al 10%.</w:t>
      </w:r>
      <w:r w:rsidRPr="00BF4538">
        <w:rPr>
          <w:rFonts w:ascii="Arial" w:eastAsia="Times New Roman" w:hAnsi="Arial" w:cs="Arial"/>
          <w:sz w:val="24"/>
          <w:szCs w:val="24"/>
          <w:vertAlign w:val="superscript"/>
          <w:lang w:val="es-ES_tradnl"/>
        </w:rPr>
        <w:t>56</w:t>
      </w: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 xml:space="preserve">De 2 amputaciones mayores registradas, solamente un caso falleció. La asociación estadística entre la amputación mayor y la muerte antes de los 5 años está bien establecida, sobre todo por causas relacionadas a la limitación de la motilidad y las complicaciones cardiovasculares. </w:t>
      </w:r>
    </w:p>
    <w:p w:rsidR="00A640C5" w:rsidRDefault="00A640C5"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Tabla # 5: Causas de muerte. Fallecidos con UPD y uso de Heberprot-P. Policlínico Miguel Montesino. Fomento. Sancti Spíritus. 2018-2020.</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2268"/>
        <w:gridCol w:w="2268"/>
      </w:tblGrid>
      <w:tr w:rsidR="00BF4538" w:rsidRPr="00BF4538" w:rsidTr="00BF4538">
        <w:trPr>
          <w:trHeight w:val="563"/>
          <w:jc w:val="center"/>
        </w:trPr>
        <w:tc>
          <w:tcPr>
            <w:tcW w:w="412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Causas de muerte.</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No.</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center"/>
          </w:tcPr>
          <w:p w:rsidR="00BF4538" w:rsidRPr="00BF4538" w:rsidRDefault="00BF4538" w:rsidP="00BF4538">
            <w:pPr>
              <w:spacing w:after="0" w:line="360" w:lineRule="auto"/>
              <w:jc w:val="both"/>
              <w:rPr>
                <w:rFonts w:ascii="Arial" w:eastAsia="Times New Roman" w:hAnsi="Arial" w:cs="Arial"/>
                <w:sz w:val="24"/>
                <w:szCs w:val="24"/>
                <w:lang w:val="es-ES" w:eastAsia="es-ES"/>
              </w:rPr>
            </w:pPr>
          </w:p>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w:t>
            </w:r>
          </w:p>
        </w:tc>
      </w:tr>
      <w:tr w:rsidR="00BF4538" w:rsidRPr="00BF4538" w:rsidTr="00BF4538">
        <w:trPr>
          <w:trHeight w:val="300"/>
          <w:jc w:val="center"/>
        </w:trPr>
        <w:tc>
          <w:tcPr>
            <w:tcW w:w="412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F4538" w:rsidRPr="00BF4538" w:rsidRDefault="00BF4538" w:rsidP="00BF4538">
            <w:pPr>
              <w:spacing w:after="0" w:line="360" w:lineRule="auto"/>
              <w:jc w:val="both"/>
              <w:rPr>
                <w:rFonts w:ascii="Arial" w:eastAsia="Times New Roman" w:hAnsi="Arial" w:cs="Arial"/>
                <w:bCs/>
                <w:sz w:val="24"/>
                <w:szCs w:val="24"/>
                <w:lang w:val="es-ES"/>
              </w:rPr>
            </w:pPr>
            <w:r w:rsidRPr="00BF4538">
              <w:rPr>
                <w:rFonts w:ascii="Arial" w:eastAsia="Times New Roman" w:hAnsi="Arial" w:cs="Arial"/>
                <w:bCs/>
                <w:sz w:val="24"/>
                <w:szCs w:val="24"/>
                <w:lang w:val="es-ES"/>
              </w:rPr>
              <w:t>Pneumonía Hipostática por Encamamiento</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64.4</w:t>
            </w:r>
          </w:p>
        </w:tc>
      </w:tr>
      <w:tr w:rsidR="00BF4538" w:rsidRPr="00BF4538" w:rsidTr="00BF4538">
        <w:trPr>
          <w:trHeight w:val="300"/>
          <w:jc w:val="center"/>
        </w:trPr>
        <w:tc>
          <w:tcPr>
            <w:tcW w:w="412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F4538" w:rsidRPr="00BF4538" w:rsidRDefault="00BF4538" w:rsidP="00BF4538">
            <w:pPr>
              <w:spacing w:after="0" w:line="360" w:lineRule="auto"/>
              <w:jc w:val="both"/>
              <w:rPr>
                <w:rFonts w:ascii="Arial" w:eastAsia="Times New Roman" w:hAnsi="Arial" w:cs="Arial"/>
                <w:bCs/>
                <w:sz w:val="24"/>
                <w:szCs w:val="24"/>
                <w:lang w:val="es-ES"/>
              </w:rPr>
            </w:pPr>
            <w:r w:rsidRPr="00BF4538">
              <w:rPr>
                <w:rFonts w:ascii="Arial" w:eastAsia="Times New Roman" w:hAnsi="Arial" w:cs="Arial"/>
                <w:sz w:val="24"/>
                <w:szCs w:val="24"/>
                <w:lang w:val="es-ES_tradnl"/>
              </w:rPr>
              <w:t>Infarto Agudo del Miocardio</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7.1</w:t>
            </w:r>
          </w:p>
        </w:tc>
      </w:tr>
      <w:tr w:rsidR="00BF4538" w:rsidRPr="00BF4538" w:rsidTr="00BF4538">
        <w:trPr>
          <w:trHeight w:val="300"/>
          <w:jc w:val="center"/>
        </w:trPr>
        <w:tc>
          <w:tcPr>
            <w:tcW w:w="412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F4538" w:rsidRPr="00BF4538" w:rsidRDefault="00BF4538" w:rsidP="00BF4538">
            <w:pPr>
              <w:spacing w:after="0" w:line="360" w:lineRule="auto"/>
              <w:jc w:val="both"/>
              <w:rPr>
                <w:rFonts w:ascii="Arial" w:eastAsia="Times New Roman" w:hAnsi="Arial" w:cs="Arial"/>
                <w:bCs/>
                <w:sz w:val="24"/>
                <w:szCs w:val="24"/>
                <w:lang w:val="es-ES"/>
              </w:rPr>
            </w:pPr>
            <w:r w:rsidRPr="00BF4538">
              <w:rPr>
                <w:rFonts w:ascii="Arial" w:eastAsia="Times New Roman" w:hAnsi="Arial" w:cs="Arial"/>
                <w:bCs/>
                <w:sz w:val="24"/>
                <w:szCs w:val="24"/>
                <w:lang w:val="es-ES"/>
              </w:rPr>
              <w:t>Edema Agudo del Pulmón</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7.1</w:t>
            </w:r>
          </w:p>
        </w:tc>
      </w:tr>
      <w:tr w:rsidR="00BF4538" w:rsidRPr="00BF4538" w:rsidTr="00BF4538">
        <w:trPr>
          <w:trHeight w:val="300"/>
          <w:jc w:val="center"/>
        </w:trPr>
        <w:tc>
          <w:tcPr>
            <w:tcW w:w="412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F4538" w:rsidRPr="00BF4538" w:rsidRDefault="00BF4538" w:rsidP="00BF4538">
            <w:pPr>
              <w:spacing w:after="0" w:line="360" w:lineRule="auto"/>
              <w:jc w:val="both"/>
              <w:rPr>
                <w:rFonts w:ascii="Arial" w:eastAsia="Times New Roman" w:hAnsi="Arial" w:cs="Arial"/>
                <w:bCs/>
                <w:sz w:val="24"/>
                <w:szCs w:val="24"/>
                <w:lang w:val="es-ES"/>
              </w:rPr>
            </w:pPr>
            <w:r w:rsidRPr="00BF4538">
              <w:rPr>
                <w:rFonts w:ascii="Arial" w:eastAsia="Times New Roman" w:hAnsi="Arial" w:cs="Arial"/>
                <w:bCs/>
                <w:sz w:val="24"/>
                <w:szCs w:val="24"/>
                <w:lang w:val="es-ES"/>
              </w:rPr>
              <w:t>Tromboembolismo Pulmonar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21.4</w:t>
            </w:r>
          </w:p>
        </w:tc>
      </w:tr>
      <w:tr w:rsidR="00BF4538" w:rsidRPr="00BF4538" w:rsidTr="00BF4538">
        <w:trPr>
          <w:trHeight w:val="300"/>
          <w:jc w:val="center"/>
        </w:trPr>
        <w:tc>
          <w:tcPr>
            <w:tcW w:w="412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F4538" w:rsidRPr="00BF4538" w:rsidRDefault="00BF4538" w:rsidP="00BF4538">
            <w:pPr>
              <w:spacing w:after="0" w:line="360" w:lineRule="auto"/>
              <w:jc w:val="both"/>
              <w:rPr>
                <w:rFonts w:ascii="Arial" w:eastAsia="Times New Roman" w:hAnsi="Arial" w:cs="Arial"/>
                <w:bCs/>
                <w:sz w:val="24"/>
                <w:szCs w:val="24"/>
                <w:lang w:val="es-ES"/>
              </w:rPr>
            </w:pPr>
            <w:r w:rsidRPr="00BF4538">
              <w:rPr>
                <w:rFonts w:ascii="Arial" w:eastAsia="Times New Roman" w:hAnsi="Arial" w:cs="Arial"/>
                <w:sz w:val="24"/>
                <w:szCs w:val="24"/>
                <w:lang w:val="es-ES_tradnl"/>
              </w:rPr>
              <w:t>Accidente Vascular Encefálico</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0</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0</w:t>
            </w:r>
          </w:p>
        </w:tc>
      </w:tr>
      <w:tr w:rsidR="00BF4538" w:rsidRPr="00BF4538" w:rsidTr="00BF4538">
        <w:trPr>
          <w:trHeight w:val="300"/>
          <w:jc w:val="center"/>
        </w:trPr>
        <w:tc>
          <w:tcPr>
            <w:tcW w:w="412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F4538" w:rsidRPr="00BF4538" w:rsidRDefault="00BF4538" w:rsidP="00BF4538">
            <w:pPr>
              <w:spacing w:after="0" w:line="360" w:lineRule="auto"/>
              <w:jc w:val="both"/>
              <w:rPr>
                <w:rFonts w:ascii="Arial" w:eastAsia="Times New Roman" w:hAnsi="Arial" w:cs="Arial"/>
                <w:bCs/>
                <w:sz w:val="24"/>
                <w:szCs w:val="24"/>
                <w:lang w:val="es-ES"/>
              </w:rPr>
            </w:pPr>
            <w:r w:rsidRPr="00BF4538">
              <w:rPr>
                <w:rFonts w:ascii="Arial" w:eastAsia="Times New Roman" w:hAnsi="Arial" w:cs="Arial"/>
                <w:bCs/>
                <w:sz w:val="24"/>
                <w:szCs w:val="24"/>
                <w:lang w:val="es-ES"/>
              </w:rPr>
              <w:t>Neoplasias</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0</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0</w:t>
            </w:r>
          </w:p>
        </w:tc>
      </w:tr>
      <w:tr w:rsidR="00BF4538" w:rsidRPr="00BF4538" w:rsidTr="00BF4538">
        <w:trPr>
          <w:trHeight w:val="300"/>
          <w:jc w:val="center"/>
        </w:trPr>
        <w:tc>
          <w:tcPr>
            <w:tcW w:w="412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F4538" w:rsidRPr="00BF4538" w:rsidRDefault="00BF4538" w:rsidP="00BF4538">
            <w:pPr>
              <w:spacing w:after="0" w:line="360" w:lineRule="auto"/>
              <w:jc w:val="both"/>
              <w:rPr>
                <w:rFonts w:ascii="Arial" w:eastAsia="Times New Roman" w:hAnsi="Arial" w:cs="Arial"/>
                <w:bCs/>
                <w:sz w:val="24"/>
                <w:szCs w:val="24"/>
                <w:lang w:val="es-ES"/>
              </w:rPr>
            </w:pPr>
            <w:r w:rsidRPr="00BF4538">
              <w:rPr>
                <w:rFonts w:ascii="Arial" w:eastAsia="Times New Roman" w:hAnsi="Arial" w:cs="Arial"/>
                <w:bCs/>
                <w:sz w:val="24"/>
                <w:szCs w:val="24"/>
                <w:lang w:val="es-ES"/>
              </w:rPr>
              <w:t>Accidentes</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0</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0</w:t>
            </w:r>
          </w:p>
        </w:tc>
      </w:tr>
      <w:tr w:rsidR="00BF4538" w:rsidRPr="00BF4538" w:rsidTr="00BF4538">
        <w:trPr>
          <w:trHeight w:val="300"/>
          <w:jc w:val="center"/>
        </w:trPr>
        <w:tc>
          <w:tcPr>
            <w:tcW w:w="412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F4538" w:rsidRPr="00BF4538" w:rsidRDefault="00BF4538" w:rsidP="00BF4538">
            <w:pPr>
              <w:spacing w:after="0" w:line="360" w:lineRule="auto"/>
              <w:jc w:val="both"/>
              <w:rPr>
                <w:rFonts w:ascii="Arial" w:eastAsia="Times New Roman" w:hAnsi="Arial" w:cs="Arial"/>
                <w:bCs/>
                <w:sz w:val="24"/>
                <w:szCs w:val="24"/>
                <w:lang w:val="es-ES"/>
              </w:rPr>
            </w:pPr>
            <w:r w:rsidRPr="00BF4538">
              <w:rPr>
                <w:rFonts w:ascii="Arial" w:eastAsia="Times New Roman" w:hAnsi="Arial" w:cs="Arial"/>
                <w:bCs/>
                <w:sz w:val="24"/>
                <w:szCs w:val="24"/>
                <w:lang w:val="es-ES"/>
              </w:rPr>
              <w:t>Total</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100</w:t>
            </w:r>
          </w:p>
        </w:tc>
      </w:tr>
    </w:tbl>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 xml:space="preserve">  Fuente: Historias Clínicas Individuales de los CMF.   </w:t>
      </w: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 xml:space="preserve">Llama la atención, al analizar las causas de muerte, que la que ocupa el primer lugar compartido en esta serie de casos es la Neumonía hipostática por encamamiento, el 64.4 % de los casos fallece por esta razón aunque también se sabe que en ocasiones se incluyen dentro de esta clasificación, aun cuando la causa no es bien precisada. </w:t>
      </w:r>
    </w:p>
    <w:p w:rsidR="00BF4538" w:rsidRPr="00BF4538" w:rsidRDefault="00BF4538" w:rsidP="00BF4538">
      <w:pPr>
        <w:spacing w:after="0" w:line="360" w:lineRule="auto"/>
        <w:jc w:val="both"/>
        <w:rPr>
          <w:rFonts w:ascii="Arial" w:eastAsia="Times New Roman" w:hAnsi="Arial" w:cs="Arial"/>
          <w:sz w:val="24"/>
          <w:szCs w:val="24"/>
          <w:vertAlign w:val="superscript"/>
          <w:lang w:val="es-ES_tradnl"/>
        </w:rPr>
      </w:pPr>
      <w:r w:rsidRPr="00BF4538">
        <w:rPr>
          <w:rFonts w:ascii="Arial" w:eastAsia="Times New Roman" w:hAnsi="Arial" w:cs="Arial"/>
          <w:sz w:val="24"/>
          <w:szCs w:val="24"/>
          <w:lang w:val="es-ES_tradnl"/>
        </w:rPr>
        <w:lastRenderedPageBreak/>
        <w:t>“…La calidad de las estadísticas de mortalidad depende fundamentalmente del correcto llenado del certificado médico de defunción, que permite realizar un adecuado análisis de las principales causas de muerte y tomar decisiones en virtud del principal objetivo del Ministerio de Salud Pública: elevar la calidad de vida de las personas…”</w:t>
      </w:r>
      <w:r w:rsidRPr="00BF4538">
        <w:rPr>
          <w:rFonts w:ascii="Arial" w:eastAsia="Times New Roman" w:hAnsi="Arial" w:cs="Arial"/>
          <w:sz w:val="24"/>
          <w:szCs w:val="24"/>
          <w:vertAlign w:val="superscript"/>
          <w:lang w:val="es-ES_tradnl"/>
        </w:rPr>
        <w:t>56</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“…es imprescindible que el médico se familiarice con la Clasificación Estadística Internacional de Enfermedades y Problemas Relacionados con la Salud vigente, a fin de hacer más compatible la consignación de la causa básica de muerte y facilitar su correcta codificación…”</w:t>
      </w:r>
      <w:r w:rsidRPr="00BF4538">
        <w:rPr>
          <w:rFonts w:ascii="Arial" w:eastAsia="Times New Roman" w:hAnsi="Arial" w:cs="Arial"/>
          <w:sz w:val="24"/>
          <w:szCs w:val="24"/>
          <w:vertAlign w:val="superscript"/>
          <w:lang w:val="es-ES"/>
        </w:rPr>
        <w:t>57</w:t>
      </w: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En el mundo las principales causas de muerte de los diabéticos amputados por UPD se asocian al aparato cardiovascular, que comparte el primer lugar en esta serie de casos. La suma del componente cardiovascular (Infarto Agudo de Miocardio, Edema Agudo de Pulmón y Tromboembolismo Pulmonar) totaliza el 35.6 % de las causas.</w:t>
      </w:r>
      <w:r w:rsidRPr="00BF4538">
        <w:rPr>
          <w:rFonts w:ascii="Arial" w:eastAsia="Times New Roman" w:hAnsi="Arial" w:cs="Arial"/>
          <w:sz w:val="24"/>
          <w:szCs w:val="24"/>
          <w:vertAlign w:val="superscript"/>
          <w:lang w:val="es-ES_tradnl"/>
        </w:rPr>
        <w:t>56</w:t>
      </w:r>
    </w:p>
    <w:p w:rsidR="00BF4538" w:rsidRPr="00BF4538" w:rsidRDefault="00BF4538" w:rsidP="00BF4538">
      <w:pPr>
        <w:spacing w:after="0" w:line="360" w:lineRule="auto"/>
        <w:jc w:val="both"/>
        <w:rPr>
          <w:rFonts w:ascii="Arial" w:eastAsia="Times New Roman" w:hAnsi="Arial" w:cs="Arial"/>
          <w:sz w:val="24"/>
          <w:szCs w:val="24"/>
          <w:vertAlign w:val="superscript"/>
          <w:lang w:val="es-ES_tradnl"/>
        </w:rPr>
      </w:pPr>
      <w:r w:rsidRPr="00BF4538">
        <w:rPr>
          <w:rFonts w:ascii="Arial" w:eastAsia="Times New Roman" w:hAnsi="Arial" w:cs="Arial"/>
          <w:sz w:val="24"/>
          <w:szCs w:val="24"/>
          <w:lang w:val="es-ES_tradnl"/>
        </w:rPr>
        <w:t>En la Tabla # 6 los resultados son más consistente con lo planteado en la literatura internacional donde los daños macroangiopáticos y microangiopáticos explican precisamente el deceso por causas cardiológicas, neurológicas y nefrológicas.</w:t>
      </w:r>
      <w:r w:rsidRPr="00BF4538">
        <w:rPr>
          <w:rFonts w:ascii="Arial" w:eastAsia="Times New Roman" w:hAnsi="Arial" w:cs="Arial"/>
          <w:sz w:val="24"/>
          <w:szCs w:val="24"/>
          <w:vertAlign w:val="superscript"/>
          <w:lang w:val="es-ES_tradnl"/>
        </w:rPr>
        <w:t>58</w:t>
      </w:r>
    </w:p>
    <w:p w:rsidR="00BF4538" w:rsidRPr="00BF4538" w:rsidRDefault="00BF4538" w:rsidP="00BF4538">
      <w:pPr>
        <w:spacing w:after="0" w:line="360" w:lineRule="auto"/>
        <w:jc w:val="both"/>
        <w:rPr>
          <w:rFonts w:ascii="Arial" w:eastAsia="Times New Roman" w:hAnsi="Arial" w:cs="Arial"/>
          <w:sz w:val="24"/>
          <w:szCs w:val="24"/>
          <w:lang w:val="es-ES"/>
        </w:rPr>
      </w:pP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Para comenzar el análisis de cómo perciben los pacientes su calidad de vida en relación con su salud, en la tabla </w:t>
      </w:r>
      <w:r w:rsidRPr="00BF4538">
        <w:rPr>
          <w:rFonts w:ascii="Arial" w:eastAsia="Times New Roman" w:hAnsi="Arial" w:cs="Arial"/>
          <w:sz w:val="24"/>
          <w:szCs w:val="24"/>
          <w:lang w:val="es-ES_tradnl"/>
        </w:rPr>
        <w:t># 6</w:t>
      </w:r>
      <w:r w:rsidRPr="00BF4538">
        <w:rPr>
          <w:rFonts w:ascii="Arial" w:eastAsia="Times New Roman" w:hAnsi="Arial" w:cs="Arial"/>
          <w:sz w:val="24"/>
          <w:szCs w:val="24"/>
          <w:lang w:val="es-ES"/>
        </w:rPr>
        <w:t xml:space="preserve"> se tabulan los resultados del cuestionario SF-36 aplicado a todos los vivos de la serie de casos. </w:t>
      </w:r>
    </w:p>
    <w:p w:rsidR="00AD5EA6" w:rsidRDefault="00AD5EA6" w:rsidP="00BF4538">
      <w:pPr>
        <w:spacing w:after="0" w:line="360" w:lineRule="auto"/>
        <w:jc w:val="both"/>
        <w:rPr>
          <w:rFonts w:ascii="Arial" w:eastAsia="Times New Roman" w:hAnsi="Arial" w:cs="Arial"/>
          <w:sz w:val="24"/>
          <w:szCs w:val="24"/>
          <w:lang w:val="es-ES_tradnl"/>
        </w:rPr>
      </w:pPr>
    </w:p>
    <w:p w:rsidR="00BF4538" w:rsidRPr="00BF4538" w:rsidRDefault="00BF4538" w:rsidP="00BF4538">
      <w:pPr>
        <w:spacing w:after="0" w:line="360" w:lineRule="auto"/>
        <w:jc w:val="both"/>
        <w:rPr>
          <w:rFonts w:ascii="Arial" w:eastAsia="Times New Roman" w:hAnsi="Arial" w:cs="Arial"/>
          <w:sz w:val="24"/>
          <w:szCs w:val="24"/>
          <w:lang w:val="es-ES_tradnl"/>
        </w:rPr>
      </w:pPr>
      <w:r w:rsidRPr="00BF4538">
        <w:rPr>
          <w:rFonts w:ascii="Arial" w:eastAsia="Times New Roman" w:hAnsi="Arial" w:cs="Arial"/>
          <w:sz w:val="24"/>
          <w:szCs w:val="24"/>
          <w:lang w:val="es-ES_tradnl"/>
        </w:rPr>
        <w:t>Tabla # 6: Calidad de Vida Relacionada con la Salud. Pacientes vivos con UPD y uso de Heberprot-P. Policlínico Miguel Montesino .Fomento. Sancti Spíritus. 2018-2020.</w:t>
      </w:r>
    </w:p>
    <w:tbl>
      <w:tblPr>
        <w:tblW w:w="8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9"/>
        <w:gridCol w:w="928"/>
        <w:gridCol w:w="925"/>
      </w:tblGrid>
      <w:tr w:rsidR="00BF4538" w:rsidRPr="00BF4538" w:rsidTr="00BF4538">
        <w:trPr>
          <w:trHeight w:val="190"/>
          <w:jc w:val="center"/>
        </w:trPr>
        <w:tc>
          <w:tcPr>
            <w:tcW w:w="6339"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Calidad de Vida Relacionada con la Salud</w:t>
            </w:r>
          </w:p>
          <w:p w:rsidR="00BF4538" w:rsidRPr="00BF4538" w:rsidRDefault="00BF4538" w:rsidP="00BF4538">
            <w:pPr>
              <w:spacing w:after="0" w:line="360" w:lineRule="auto"/>
              <w:jc w:val="both"/>
              <w:rPr>
                <w:rFonts w:ascii="Arial" w:eastAsia="Times New Roman" w:hAnsi="Arial" w:cs="Arial"/>
                <w:sz w:val="24"/>
                <w:szCs w:val="24"/>
                <w:lang w:val="es-ES" w:eastAsia="es-ES"/>
              </w:rPr>
            </w:pPr>
          </w:p>
        </w:tc>
        <w:tc>
          <w:tcPr>
            <w:tcW w:w="1853" w:type="dxa"/>
            <w:gridSpan w:val="2"/>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Sobrevivientes</w:t>
            </w:r>
          </w:p>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No.    %</w:t>
            </w:r>
          </w:p>
        </w:tc>
      </w:tr>
      <w:tr w:rsidR="00BF4538" w:rsidRPr="00BF4538" w:rsidTr="00BF4538">
        <w:trPr>
          <w:trHeight w:val="354"/>
          <w:jc w:val="center"/>
        </w:trPr>
        <w:tc>
          <w:tcPr>
            <w:tcW w:w="6339"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Buena</w:t>
            </w:r>
          </w:p>
        </w:tc>
        <w:tc>
          <w:tcPr>
            <w:tcW w:w="928" w:type="dxa"/>
            <w:tcBorders>
              <w:top w:val="single" w:sz="4" w:space="0" w:color="auto"/>
              <w:left w:val="single" w:sz="4" w:space="0" w:color="auto"/>
              <w:bottom w:val="single" w:sz="4" w:space="0" w:color="auto"/>
              <w:right w:val="single" w:sz="4" w:space="0" w:color="auto"/>
            </w:tcBorders>
            <w:noWrap/>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5</w:t>
            </w:r>
          </w:p>
        </w:tc>
        <w:tc>
          <w:tcPr>
            <w:tcW w:w="925" w:type="dxa"/>
            <w:tcBorders>
              <w:top w:val="single" w:sz="4" w:space="0" w:color="auto"/>
              <w:left w:val="single" w:sz="4" w:space="0" w:color="auto"/>
              <w:bottom w:val="single" w:sz="4" w:space="0" w:color="auto"/>
              <w:right w:val="single" w:sz="4" w:space="0" w:color="auto"/>
            </w:tcBorders>
            <w:noWrap/>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6.4</w:t>
            </w:r>
          </w:p>
        </w:tc>
      </w:tr>
      <w:tr w:rsidR="00BF4538" w:rsidRPr="00BF4538" w:rsidTr="00BF4538">
        <w:trPr>
          <w:trHeight w:val="424"/>
          <w:jc w:val="center"/>
        </w:trPr>
        <w:tc>
          <w:tcPr>
            <w:tcW w:w="6339"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Regular</w:t>
            </w:r>
          </w:p>
        </w:tc>
        <w:tc>
          <w:tcPr>
            <w:tcW w:w="928" w:type="dxa"/>
            <w:tcBorders>
              <w:top w:val="single" w:sz="4" w:space="0" w:color="auto"/>
              <w:left w:val="single" w:sz="4" w:space="0" w:color="auto"/>
              <w:bottom w:val="single" w:sz="4" w:space="0" w:color="auto"/>
              <w:right w:val="single" w:sz="4" w:space="0" w:color="auto"/>
            </w:tcBorders>
            <w:noWrap/>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57</w:t>
            </w:r>
          </w:p>
        </w:tc>
        <w:tc>
          <w:tcPr>
            <w:tcW w:w="925" w:type="dxa"/>
            <w:tcBorders>
              <w:top w:val="single" w:sz="4" w:space="0" w:color="auto"/>
              <w:left w:val="single" w:sz="4" w:space="0" w:color="auto"/>
              <w:bottom w:val="single" w:sz="4" w:space="0" w:color="auto"/>
              <w:right w:val="single" w:sz="4" w:space="0" w:color="auto"/>
            </w:tcBorders>
            <w:noWrap/>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73.1</w:t>
            </w:r>
          </w:p>
        </w:tc>
      </w:tr>
      <w:tr w:rsidR="00BF4538" w:rsidRPr="00BF4538" w:rsidTr="00BF4538">
        <w:trPr>
          <w:trHeight w:val="424"/>
          <w:jc w:val="center"/>
        </w:trPr>
        <w:tc>
          <w:tcPr>
            <w:tcW w:w="6339"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Mala</w:t>
            </w:r>
          </w:p>
        </w:tc>
        <w:tc>
          <w:tcPr>
            <w:tcW w:w="928" w:type="dxa"/>
            <w:tcBorders>
              <w:top w:val="single" w:sz="4" w:space="0" w:color="auto"/>
              <w:left w:val="single" w:sz="4" w:space="0" w:color="auto"/>
              <w:bottom w:val="single" w:sz="4" w:space="0" w:color="auto"/>
              <w:right w:val="single" w:sz="4" w:space="0" w:color="auto"/>
            </w:tcBorders>
            <w:noWrap/>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16</w:t>
            </w:r>
          </w:p>
        </w:tc>
        <w:tc>
          <w:tcPr>
            <w:tcW w:w="925" w:type="dxa"/>
            <w:tcBorders>
              <w:top w:val="single" w:sz="4" w:space="0" w:color="auto"/>
              <w:left w:val="single" w:sz="4" w:space="0" w:color="auto"/>
              <w:bottom w:val="single" w:sz="4" w:space="0" w:color="auto"/>
              <w:right w:val="single" w:sz="4" w:space="0" w:color="auto"/>
            </w:tcBorders>
            <w:noWrap/>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20.5</w:t>
            </w:r>
          </w:p>
        </w:tc>
      </w:tr>
    </w:tbl>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     Fuente: Resultados del cuestionario SF-36.</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De 78 sobrevivientes analizados en esta serie de casos a los que se le pudo aplicar el test, el 6.4 % refiere en el cuestionario SF-36 tener una calidad de vida adecuada en relación con su salud. La mayoría (73.1 %) la refiere como Regular y el 20.5 % la </w:t>
      </w:r>
      <w:r w:rsidRPr="00BF4538">
        <w:rPr>
          <w:rFonts w:ascii="Arial" w:eastAsia="Times New Roman" w:hAnsi="Arial" w:cs="Arial"/>
          <w:sz w:val="24"/>
          <w:szCs w:val="24"/>
          <w:lang w:val="es-ES"/>
        </w:rPr>
        <w:lastRenderedPageBreak/>
        <w:t xml:space="preserve">considera Mala. La puntuación promedio tuvo un valor de 55 puntos en escala de 100. Tal situación no coincide con los valores referidos en la literatura extranjera, donde las cifras de CVRS son a predominio de Mala calidad. </w:t>
      </w:r>
    </w:p>
    <w:p w:rsidR="00BF4538" w:rsidRPr="00BF4538" w:rsidRDefault="00BF4538" w:rsidP="00BF4538">
      <w:pPr>
        <w:spacing w:after="0" w:line="360" w:lineRule="auto"/>
        <w:jc w:val="both"/>
        <w:rPr>
          <w:rFonts w:ascii="Arial" w:eastAsia="Times New Roman" w:hAnsi="Arial" w:cs="Arial"/>
          <w:sz w:val="24"/>
          <w:szCs w:val="24"/>
          <w:lang w:val="es-ES"/>
        </w:rPr>
      </w:pPr>
    </w:p>
    <w:p w:rsidR="00BF4538" w:rsidRPr="00BF4538" w:rsidRDefault="00BF4538" w:rsidP="00BF4538">
      <w:pPr>
        <w:spacing w:after="0" w:line="360" w:lineRule="auto"/>
        <w:jc w:val="both"/>
        <w:rPr>
          <w:rFonts w:ascii="Arial" w:eastAsia="Times New Roman" w:hAnsi="Arial" w:cs="Arial"/>
          <w:sz w:val="24"/>
          <w:szCs w:val="24"/>
          <w:vertAlign w:val="superscript"/>
          <w:lang w:val="es-ES"/>
        </w:rPr>
      </w:pPr>
      <w:r w:rsidRPr="00BF4538">
        <w:rPr>
          <w:rFonts w:ascii="Arial" w:eastAsia="Times New Roman" w:hAnsi="Arial" w:cs="Arial"/>
          <w:sz w:val="24"/>
          <w:szCs w:val="24"/>
          <w:lang w:val="es-ES"/>
        </w:rPr>
        <w:t>En un estudio europeo de 1232 pacientes a los que se les diagnosticó y dio seguimiento posterior al debut de una UPD se aplicó el test SF-36. La generalidad de los casos reportó poca CVRS. La cronicidad de las UPD, su dolor, la probabilidad de adquirir infecciones y la presencia de neuropatía y enfermedad Arterial Periférica llevaron a tales resultados.</w:t>
      </w:r>
      <w:r w:rsidRPr="00BF4538">
        <w:rPr>
          <w:rFonts w:ascii="Arial" w:eastAsia="Times New Roman" w:hAnsi="Arial" w:cs="Arial"/>
          <w:sz w:val="24"/>
          <w:szCs w:val="24"/>
          <w:vertAlign w:val="superscript"/>
          <w:lang w:val="es-ES"/>
        </w:rPr>
        <w:t>33</w:t>
      </w:r>
    </w:p>
    <w:p w:rsidR="00BF4538" w:rsidRPr="00BF4538" w:rsidRDefault="00BF4538" w:rsidP="00BF4538">
      <w:pPr>
        <w:spacing w:after="0" w:line="360" w:lineRule="auto"/>
        <w:jc w:val="both"/>
        <w:rPr>
          <w:rFonts w:ascii="Arial" w:eastAsia="Times New Roman" w:hAnsi="Arial" w:cs="Arial"/>
          <w:sz w:val="24"/>
          <w:szCs w:val="24"/>
          <w:lang w:val="es-ES"/>
        </w:rPr>
      </w:pP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Un estudio cubano de Impacto de la diabetes sobre la duración y calidad de vida de la población, demostró que los enfermos tienen un impacto negativo de 0,7 como promedio sobre su calidad de vida al año 2003. O sea que los pacientes diabéticos solo tendrían buena calidad de vida en el 30% de los casos.</w:t>
      </w:r>
      <w:r w:rsidRPr="00BF4538">
        <w:rPr>
          <w:rFonts w:ascii="Arial" w:eastAsia="Times New Roman" w:hAnsi="Arial" w:cs="Arial"/>
          <w:sz w:val="24"/>
          <w:szCs w:val="24"/>
          <w:vertAlign w:val="superscript"/>
          <w:lang w:val="es-ES"/>
        </w:rPr>
        <w:t>59</w:t>
      </w:r>
    </w:p>
    <w:p w:rsidR="00BF4538" w:rsidRPr="00BF4538" w:rsidRDefault="00BF4538" w:rsidP="00BF4538">
      <w:pPr>
        <w:spacing w:after="0" w:line="360" w:lineRule="auto"/>
        <w:jc w:val="both"/>
        <w:rPr>
          <w:rFonts w:ascii="Arial" w:eastAsia="Times New Roman" w:hAnsi="Arial" w:cs="Arial"/>
          <w:sz w:val="24"/>
          <w:szCs w:val="24"/>
          <w:lang w:val="es-ES"/>
        </w:rPr>
      </w:pP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Estudios previos han mostrado que los pacientes con DM pueden tener una alta tendencia a los disturbios psicológicos, posiblemente secundaria a la cronicidad de su enfermedad. El más notable de estos problemas es la depresión y su asociación con la UPD. Esto lleva al deterioro del control glucémico y subsecuentemente al incremento del riesgo de desarrollar las complicaciones tardías de la DM incluyendo la neuropatía y otra UPD.</w:t>
      </w:r>
      <w:r w:rsidRPr="00BF4538">
        <w:rPr>
          <w:rFonts w:ascii="Arial" w:eastAsia="Times New Roman" w:hAnsi="Arial" w:cs="Arial"/>
          <w:sz w:val="24"/>
          <w:szCs w:val="24"/>
          <w:vertAlign w:val="superscript"/>
          <w:lang w:val="es-ES"/>
        </w:rPr>
        <w:t>60, 61</w:t>
      </w:r>
    </w:p>
    <w:p w:rsidR="00BF4538" w:rsidRPr="00BF4538" w:rsidRDefault="00BF4538" w:rsidP="00BF4538">
      <w:pPr>
        <w:spacing w:after="0" w:line="360" w:lineRule="auto"/>
        <w:jc w:val="both"/>
        <w:rPr>
          <w:rFonts w:ascii="Arial" w:eastAsia="Times New Roman" w:hAnsi="Arial" w:cs="Arial"/>
          <w:sz w:val="24"/>
          <w:szCs w:val="24"/>
          <w:lang w:val="es-ES"/>
        </w:rPr>
      </w:pP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En opinión del autor, dado que en Cuba se han realizado escasos estudios de CVRS utilizando el SF-36 para casos de UPD después del advenimiento del Heberprot-P, es difícil tener referencias comparativas. Todo lo anteriormente mencionado relativo a UPD crónicas, dolores, discapacidades y demás complicaciones relacionadas con la presencia de una UPD por largo tiempo, en nuestro país no existen de manera general. Las tasas de recuperación asociadas al PAIPUPD explican por sí mismas que aunque un paciente puede tener recidivas, no presenta cronicidad en las UPD al curar en la mayoría de los casos.</w:t>
      </w:r>
      <w:r w:rsidRPr="00BF4538">
        <w:rPr>
          <w:rFonts w:ascii="Arial" w:eastAsia="Times New Roman" w:hAnsi="Arial" w:cs="Arial"/>
          <w:sz w:val="24"/>
          <w:szCs w:val="24"/>
          <w:vertAlign w:val="superscript"/>
          <w:lang w:val="es-ES"/>
        </w:rPr>
        <w:t>32</w:t>
      </w:r>
    </w:p>
    <w:p w:rsidR="00BF4538" w:rsidRPr="00BF4538" w:rsidRDefault="00BF4538" w:rsidP="00BF4538">
      <w:pPr>
        <w:spacing w:after="0" w:line="360" w:lineRule="auto"/>
        <w:jc w:val="both"/>
        <w:rPr>
          <w:rFonts w:ascii="Arial" w:eastAsia="Times New Roman" w:hAnsi="Arial" w:cs="Arial"/>
          <w:sz w:val="24"/>
          <w:szCs w:val="24"/>
          <w:lang w:val="es-ES"/>
        </w:rPr>
      </w:pP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Las principales dimensiones que explora el SF-36 son distribuidas en la Tabla #7.</w:t>
      </w:r>
    </w:p>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_tradnl"/>
        </w:rPr>
        <w:lastRenderedPageBreak/>
        <w:t>Tabla # 7: Dimensiones de la Calidad de Vida Relacionada con la Salud. Pacientes vivos con UPD y uso de Heberprot-P. Policlínico Miguel Montesino. Fomento. Sancti Spíritus. 2018-2020.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2"/>
        <w:gridCol w:w="1568"/>
        <w:gridCol w:w="1714"/>
        <w:gridCol w:w="1394"/>
      </w:tblGrid>
      <w:tr w:rsidR="00BF4538" w:rsidRPr="00BF4538" w:rsidTr="00BF4538">
        <w:trPr>
          <w:trHeight w:val="199"/>
          <w:jc w:val="center"/>
        </w:trPr>
        <w:tc>
          <w:tcPr>
            <w:tcW w:w="0" w:type="auto"/>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Dimensión / Ítems</w:t>
            </w:r>
          </w:p>
        </w:tc>
        <w:tc>
          <w:tcPr>
            <w:tcW w:w="0" w:type="auto"/>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CVRS Buena</w:t>
            </w:r>
          </w:p>
        </w:tc>
        <w:tc>
          <w:tcPr>
            <w:tcW w:w="0" w:type="auto"/>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CVRS Regular</w:t>
            </w:r>
          </w:p>
        </w:tc>
        <w:tc>
          <w:tcPr>
            <w:tcW w:w="0" w:type="auto"/>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CVRS Mala</w:t>
            </w:r>
          </w:p>
        </w:tc>
      </w:tr>
      <w:tr w:rsidR="00BF4538" w:rsidRPr="00BF4538" w:rsidTr="00BF4538">
        <w:trPr>
          <w:trHeight w:val="405"/>
          <w:jc w:val="center"/>
        </w:trPr>
        <w:tc>
          <w:tcPr>
            <w:tcW w:w="0" w:type="auto"/>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Función Física (10)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57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16</w:t>
            </w:r>
          </w:p>
        </w:tc>
      </w:tr>
      <w:tr w:rsidR="00BF4538" w:rsidRPr="00BF4538" w:rsidTr="00BF4538">
        <w:trPr>
          <w:trHeight w:val="292"/>
          <w:jc w:val="center"/>
        </w:trPr>
        <w:tc>
          <w:tcPr>
            <w:tcW w:w="0" w:type="auto"/>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Rol Físico (4)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58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16</w:t>
            </w:r>
          </w:p>
        </w:tc>
      </w:tr>
      <w:tr w:rsidR="00BF4538" w:rsidRPr="00BF4538" w:rsidTr="00BF4538">
        <w:trPr>
          <w:trHeight w:val="390"/>
          <w:jc w:val="center"/>
        </w:trPr>
        <w:tc>
          <w:tcPr>
            <w:tcW w:w="0" w:type="auto"/>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Dolor Corporal (2)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58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16</w:t>
            </w:r>
          </w:p>
        </w:tc>
      </w:tr>
      <w:tr w:rsidR="00BF4538" w:rsidRPr="00BF4538" w:rsidTr="00BF4538">
        <w:trPr>
          <w:trHeight w:val="267"/>
          <w:jc w:val="center"/>
        </w:trPr>
        <w:tc>
          <w:tcPr>
            <w:tcW w:w="0" w:type="auto"/>
            <w:tcBorders>
              <w:top w:val="single" w:sz="4" w:space="0" w:color="auto"/>
              <w:left w:val="single" w:sz="4" w:space="0" w:color="auto"/>
              <w:bottom w:val="single" w:sz="4" w:space="0" w:color="auto"/>
              <w:right w:val="single" w:sz="4" w:space="0" w:color="auto"/>
            </w:tcBorders>
            <w:shd w:val="clear" w:color="auto" w:fill="DEEAF6"/>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eastAsia="es-ES"/>
              </w:rPr>
              <w:t>Salud General (5)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58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15</w:t>
            </w:r>
          </w:p>
        </w:tc>
      </w:tr>
      <w:tr w:rsidR="00BF4538" w:rsidRPr="00BF4538" w:rsidTr="00BF4538">
        <w:trPr>
          <w:trHeight w:val="328"/>
          <w:jc w:val="center"/>
        </w:trPr>
        <w:tc>
          <w:tcPr>
            <w:tcW w:w="0" w:type="auto"/>
            <w:tcBorders>
              <w:top w:val="single" w:sz="4" w:space="0" w:color="auto"/>
              <w:left w:val="single" w:sz="4" w:space="0" w:color="auto"/>
              <w:bottom w:val="single" w:sz="4" w:space="0" w:color="auto"/>
              <w:right w:val="single" w:sz="4" w:space="0" w:color="auto"/>
            </w:tcBorders>
            <w:shd w:val="clear" w:color="auto" w:fill="DEEAF6"/>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eastAsia="es-ES"/>
              </w:rPr>
              <w:t>Vitalidad (4)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55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18</w:t>
            </w:r>
          </w:p>
        </w:tc>
      </w:tr>
      <w:tr w:rsidR="00BF4538" w:rsidRPr="00BF4538" w:rsidTr="00BF4538">
        <w:trPr>
          <w:trHeight w:val="328"/>
          <w:jc w:val="center"/>
        </w:trPr>
        <w:tc>
          <w:tcPr>
            <w:tcW w:w="0" w:type="auto"/>
            <w:tcBorders>
              <w:top w:val="single" w:sz="4" w:space="0" w:color="auto"/>
              <w:left w:val="single" w:sz="4" w:space="0" w:color="auto"/>
              <w:bottom w:val="single" w:sz="4" w:space="0" w:color="auto"/>
              <w:right w:val="single" w:sz="4" w:space="0" w:color="auto"/>
            </w:tcBorders>
            <w:shd w:val="clear" w:color="auto" w:fill="DEEAF6"/>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Función Social (2)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58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16</w:t>
            </w:r>
          </w:p>
        </w:tc>
      </w:tr>
      <w:tr w:rsidR="00BF4538" w:rsidRPr="00BF4538" w:rsidTr="00BF4538">
        <w:trPr>
          <w:trHeight w:val="328"/>
          <w:jc w:val="center"/>
        </w:trPr>
        <w:tc>
          <w:tcPr>
            <w:tcW w:w="0" w:type="auto"/>
            <w:tcBorders>
              <w:top w:val="single" w:sz="4" w:space="0" w:color="auto"/>
              <w:left w:val="single" w:sz="4" w:space="0" w:color="auto"/>
              <w:bottom w:val="single" w:sz="4" w:space="0" w:color="auto"/>
              <w:right w:val="single" w:sz="4" w:space="0" w:color="auto"/>
            </w:tcBorders>
            <w:shd w:val="clear" w:color="auto" w:fill="DEEAF6"/>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eastAsia="es-ES"/>
              </w:rPr>
              <w:t>Rol Emocional (3)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58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16</w:t>
            </w:r>
          </w:p>
        </w:tc>
      </w:tr>
      <w:tr w:rsidR="00BF4538" w:rsidRPr="00BF4538" w:rsidTr="00BF4538">
        <w:trPr>
          <w:trHeight w:val="328"/>
          <w:jc w:val="center"/>
        </w:trPr>
        <w:tc>
          <w:tcPr>
            <w:tcW w:w="0" w:type="auto"/>
            <w:tcBorders>
              <w:top w:val="single" w:sz="4" w:space="0" w:color="auto"/>
              <w:left w:val="single" w:sz="4" w:space="0" w:color="auto"/>
              <w:bottom w:val="single" w:sz="4" w:space="0" w:color="auto"/>
              <w:right w:val="single" w:sz="4" w:space="0" w:color="auto"/>
            </w:tcBorders>
            <w:shd w:val="clear" w:color="auto" w:fill="DEEAF6"/>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Salud Mental (5)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58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15</w:t>
            </w:r>
          </w:p>
        </w:tc>
      </w:tr>
      <w:tr w:rsidR="00BF4538" w:rsidRPr="00BF4538" w:rsidTr="00BF4538">
        <w:trPr>
          <w:trHeight w:val="328"/>
          <w:jc w:val="center"/>
        </w:trPr>
        <w:tc>
          <w:tcPr>
            <w:tcW w:w="0" w:type="auto"/>
            <w:tcBorders>
              <w:top w:val="single" w:sz="4" w:space="0" w:color="auto"/>
              <w:left w:val="single" w:sz="4" w:space="0" w:color="auto"/>
              <w:bottom w:val="single" w:sz="4" w:space="0" w:color="auto"/>
              <w:right w:val="single" w:sz="4" w:space="0" w:color="auto"/>
            </w:tcBorders>
            <w:shd w:val="clear" w:color="auto" w:fill="DEEAF6"/>
            <w:hideMark/>
          </w:tcPr>
          <w:p w:rsidR="00BF4538" w:rsidRPr="00BF4538" w:rsidRDefault="00BF4538" w:rsidP="00BF4538">
            <w:pPr>
              <w:spacing w:after="0" w:line="360" w:lineRule="auto"/>
              <w:jc w:val="both"/>
              <w:rPr>
                <w:rFonts w:ascii="Arial" w:eastAsia="Times New Roman" w:hAnsi="Arial" w:cs="Arial"/>
                <w:sz w:val="24"/>
                <w:szCs w:val="24"/>
                <w:lang w:val="es-ES" w:eastAsia="es-ES"/>
              </w:rPr>
            </w:pPr>
            <w:r w:rsidRPr="00BF4538">
              <w:rPr>
                <w:rFonts w:ascii="Arial" w:eastAsia="Times New Roman" w:hAnsi="Arial" w:cs="Arial"/>
                <w:sz w:val="24"/>
                <w:szCs w:val="24"/>
                <w:lang w:val="es-ES" w:eastAsia="es-ES"/>
              </w:rPr>
              <w:t>Transición de Salud (1)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56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F4538" w:rsidRPr="00BF4538" w:rsidRDefault="00BF4538" w:rsidP="00BF4538">
            <w:p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17</w:t>
            </w:r>
          </w:p>
        </w:tc>
      </w:tr>
    </w:tbl>
    <w:p w:rsidR="00BF4538" w:rsidRPr="00BF4538" w:rsidRDefault="00BF4538" w:rsidP="00BF4538">
      <w:pPr>
        <w:spacing w:after="0" w:line="360" w:lineRule="auto"/>
        <w:jc w:val="both"/>
        <w:rPr>
          <w:rFonts w:ascii="Arial" w:eastAsia="Times New Roman" w:hAnsi="Arial" w:cs="Arial"/>
          <w:noProof/>
          <w:sz w:val="24"/>
          <w:szCs w:val="24"/>
          <w:lang w:val="es-ES"/>
        </w:rPr>
      </w:pPr>
      <w:r w:rsidRPr="00BF4538">
        <w:rPr>
          <w:rFonts w:ascii="Arial" w:eastAsia="Times New Roman" w:hAnsi="Arial" w:cs="Arial"/>
          <w:noProof/>
          <w:sz w:val="24"/>
          <w:szCs w:val="24"/>
          <w:lang w:val="es-ES"/>
        </w:rPr>
        <w:t xml:space="preserve">    Fuente:Resultados de las </w:t>
      </w:r>
      <w:r w:rsidRPr="00BF4538">
        <w:rPr>
          <w:rFonts w:ascii="Arial" w:eastAsia="Times New Roman" w:hAnsi="Arial" w:cs="Arial"/>
          <w:sz w:val="24"/>
          <w:szCs w:val="24"/>
          <w:lang w:val="es-ES"/>
        </w:rPr>
        <w:t>dimensiones que explora el cuestionario SF-36.</w:t>
      </w:r>
    </w:p>
    <w:p w:rsidR="00BF4538" w:rsidRPr="00BF4538" w:rsidRDefault="00BF4538" w:rsidP="00BF4538">
      <w:pPr>
        <w:spacing w:after="0" w:line="360" w:lineRule="auto"/>
        <w:jc w:val="both"/>
        <w:rPr>
          <w:rFonts w:ascii="Arial" w:eastAsia="Times New Roman" w:hAnsi="Arial" w:cs="Arial"/>
          <w:noProof/>
          <w:sz w:val="24"/>
          <w:szCs w:val="24"/>
          <w:lang w:val="es-ES"/>
        </w:rPr>
      </w:pPr>
      <w:r w:rsidRPr="00BF4538">
        <w:rPr>
          <w:rFonts w:ascii="Arial" w:eastAsia="Times New Roman" w:hAnsi="Arial" w:cs="Arial"/>
          <w:noProof/>
          <w:sz w:val="24"/>
          <w:szCs w:val="24"/>
          <w:lang w:val="es-ES"/>
        </w:rPr>
        <w:t>Las dimensiones donde predomina la CVRS en categoría “Mala” son Vitalidad y Transición de Salud. Los casos se distribuyen entre otras dimensiones de manera uniforme. En un estudio norteamericano de 47 pacientes con UPD a los que se le aplica el SF-36, si bien la puntuación general promedio es mayor que la de esta serie (78,6) existe coincidencia en el tipo de dimensiones afectadas.</w:t>
      </w:r>
      <w:r w:rsidRPr="00BF4538">
        <w:rPr>
          <w:rFonts w:ascii="Arial" w:eastAsia="Times New Roman" w:hAnsi="Arial" w:cs="Arial"/>
          <w:noProof/>
          <w:sz w:val="24"/>
          <w:szCs w:val="24"/>
          <w:vertAlign w:val="superscript"/>
          <w:lang w:val="es-ES"/>
        </w:rPr>
        <w:t>62</w:t>
      </w:r>
    </w:p>
    <w:p w:rsidR="00BF4538" w:rsidRPr="00BF4538" w:rsidRDefault="00BF4538" w:rsidP="00BF4538">
      <w:pPr>
        <w:spacing w:after="0" w:line="360" w:lineRule="auto"/>
        <w:jc w:val="both"/>
        <w:rPr>
          <w:rFonts w:ascii="Arial" w:eastAsia="Times New Roman" w:hAnsi="Arial" w:cs="Arial"/>
          <w:noProof/>
          <w:sz w:val="24"/>
          <w:szCs w:val="24"/>
          <w:lang w:val="es-ES"/>
        </w:rPr>
      </w:pPr>
    </w:p>
    <w:p w:rsidR="00BF4538" w:rsidRPr="00BF4538" w:rsidRDefault="00BF4538" w:rsidP="00BF4538">
      <w:pPr>
        <w:spacing w:after="0" w:line="360" w:lineRule="auto"/>
        <w:jc w:val="both"/>
        <w:rPr>
          <w:rFonts w:ascii="Arial" w:eastAsia="Times New Roman" w:hAnsi="Arial" w:cs="Arial"/>
          <w:noProof/>
          <w:sz w:val="24"/>
          <w:szCs w:val="24"/>
          <w:lang w:val="es-ES"/>
        </w:rPr>
      </w:pPr>
      <w:r w:rsidRPr="00BF4538">
        <w:rPr>
          <w:rFonts w:ascii="Arial" w:eastAsia="Times New Roman" w:hAnsi="Arial" w:cs="Arial"/>
          <w:noProof/>
          <w:sz w:val="24"/>
          <w:szCs w:val="24"/>
          <w:lang w:val="es-ES"/>
        </w:rPr>
        <w:t>Un estudio comparativo, también norteamericano, entre los test SF-12 y SF-36 que incluyó a 300 pacientes mostró una media general de puntuación más baja que en la serie de casos de este estudio y de manera diferente con un predominio importante del Sumario del Componente Físico (Función Física, Dolor Corporal, Vitalidad y Salud Mental) .</w:t>
      </w:r>
      <w:r w:rsidRPr="00BF4538">
        <w:rPr>
          <w:rFonts w:ascii="Arial" w:eastAsia="Times New Roman" w:hAnsi="Arial" w:cs="Arial"/>
          <w:noProof/>
          <w:sz w:val="24"/>
          <w:szCs w:val="24"/>
          <w:vertAlign w:val="superscript"/>
          <w:lang w:val="es-ES"/>
        </w:rPr>
        <w:t>63</w:t>
      </w:r>
    </w:p>
    <w:p w:rsidR="00BF4538" w:rsidRPr="00BF4538" w:rsidRDefault="00BF4538" w:rsidP="00BF4538">
      <w:pPr>
        <w:spacing w:after="0" w:line="360" w:lineRule="auto"/>
        <w:jc w:val="both"/>
        <w:rPr>
          <w:rFonts w:ascii="Arial" w:eastAsia="Times New Roman" w:hAnsi="Arial" w:cs="Arial"/>
          <w:noProof/>
          <w:sz w:val="24"/>
          <w:szCs w:val="24"/>
          <w:lang w:val="es-ES"/>
        </w:rPr>
      </w:pPr>
      <w:r w:rsidRPr="00BF4538">
        <w:rPr>
          <w:rFonts w:ascii="Arial" w:eastAsia="Times New Roman" w:hAnsi="Arial" w:cs="Arial"/>
          <w:noProof/>
          <w:sz w:val="24"/>
          <w:szCs w:val="24"/>
          <w:lang w:val="es-ES"/>
        </w:rPr>
        <w:t xml:space="preserve">Se nota precisamente que el Sumario del Componente Mental (Rol Físico, Salud General, Función Social, Rol Emocional y Transición de Salud) son los más involucrados en la serie de casos de el actual estudio. </w:t>
      </w:r>
    </w:p>
    <w:p w:rsidR="00BF4538" w:rsidRPr="00BF4538" w:rsidRDefault="00BF4538" w:rsidP="00BF4538">
      <w:pPr>
        <w:spacing w:after="0" w:line="360" w:lineRule="auto"/>
        <w:jc w:val="both"/>
        <w:rPr>
          <w:rFonts w:ascii="Arial" w:eastAsia="Times New Roman" w:hAnsi="Arial" w:cs="Arial"/>
          <w:noProof/>
          <w:sz w:val="24"/>
          <w:szCs w:val="24"/>
          <w:lang w:val="es-ES"/>
        </w:rPr>
      </w:pPr>
    </w:p>
    <w:p w:rsidR="00BF4538" w:rsidRDefault="00BF4538" w:rsidP="00BF4538">
      <w:pPr>
        <w:spacing w:after="0" w:line="360" w:lineRule="auto"/>
        <w:jc w:val="both"/>
        <w:rPr>
          <w:rFonts w:ascii="Arial" w:eastAsia="Times New Roman" w:hAnsi="Arial" w:cs="Arial"/>
          <w:noProof/>
          <w:sz w:val="24"/>
          <w:szCs w:val="24"/>
          <w:vertAlign w:val="superscript"/>
          <w:lang w:val="es-ES"/>
        </w:rPr>
      </w:pPr>
      <w:r w:rsidRPr="00BF4538">
        <w:rPr>
          <w:rFonts w:ascii="Arial" w:eastAsia="Times New Roman" w:hAnsi="Arial" w:cs="Arial"/>
          <w:noProof/>
          <w:sz w:val="24"/>
          <w:szCs w:val="24"/>
          <w:lang w:val="es-ES"/>
        </w:rPr>
        <w:t xml:space="preserve">Una herramienta básica para el control de la DM es la educación para la salud, proceso que se da durante toda la vida, que enseña al individuo a conocer mejor su cuerpo y a </w:t>
      </w:r>
      <w:r w:rsidRPr="00BF4538">
        <w:rPr>
          <w:rFonts w:ascii="Arial" w:eastAsia="Times New Roman" w:hAnsi="Arial" w:cs="Arial"/>
          <w:noProof/>
          <w:sz w:val="24"/>
          <w:szCs w:val="24"/>
          <w:lang w:val="es-ES"/>
        </w:rPr>
        <w:lastRenderedPageBreak/>
        <w:t>cómo mantenerlo. De manera que la promoción y la educación para la salud son los ejes para el paso del concepto negativo de la salud a una visión positiva donde la base del conocimiento y de las destrezas habilitan al individuo para hacer elecciones responsables en cuanto a sus prácticas cotidianas .</w:t>
      </w:r>
      <w:r w:rsidRPr="00BF4538">
        <w:rPr>
          <w:rFonts w:ascii="Arial" w:eastAsia="Times New Roman" w:hAnsi="Arial" w:cs="Arial"/>
          <w:noProof/>
          <w:sz w:val="24"/>
          <w:szCs w:val="24"/>
          <w:vertAlign w:val="superscript"/>
          <w:lang w:val="es-ES"/>
        </w:rPr>
        <w:t>64</w:t>
      </w:r>
    </w:p>
    <w:p w:rsidR="00664F42" w:rsidRDefault="00664F42" w:rsidP="00BF4538">
      <w:pPr>
        <w:keepNext/>
        <w:spacing w:before="240" w:after="60" w:line="360" w:lineRule="auto"/>
        <w:jc w:val="both"/>
        <w:outlineLvl w:val="0"/>
        <w:rPr>
          <w:rFonts w:ascii="Arial" w:eastAsia="Times New Roman" w:hAnsi="Arial" w:cs="Arial"/>
          <w:b/>
          <w:bCs/>
          <w:kern w:val="32"/>
          <w:sz w:val="24"/>
          <w:szCs w:val="24"/>
          <w:lang w:val="es-ES_tradnl"/>
        </w:rPr>
      </w:pPr>
      <w:bookmarkStart w:id="2" w:name="_Toc115975167"/>
      <w:bookmarkStart w:id="3" w:name="_GoBack"/>
      <w:bookmarkEnd w:id="3"/>
    </w:p>
    <w:p w:rsidR="00BF4538" w:rsidRPr="00BF4538" w:rsidRDefault="00BF4538" w:rsidP="00BF4538">
      <w:pPr>
        <w:keepNext/>
        <w:spacing w:before="240" w:after="60" w:line="360" w:lineRule="auto"/>
        <w:jc w:val="both"/>
        <w:outlineLvl w:val="0"/>
        <w:rPr>
          <w:rFonts w:ascii="Arial" w:eastAsia="Times New Roman" w:hAnsi="Arial" w:cs="Arial"/>
          <w:b/>
          <w:bCs/>
          <w:kern w:val="32"/>
          <w:sz w:val="24"/>
          <w:szCs w:val="24"/>
          <w:lang w:val="es-ES_tradnl"/>
        </w:rPr>
      </w:pPr>
      <w:r w:rsidRPr="00BF4538">
        <w:rPr>
          <w:rFonts w:ascii="Arial" w:eastAsia="Times New Roman" w:hAnsi="Arial" w:cs="Arial"/>
          <w:b/>
          <w:bCs/>
          <w:kern w:val="32"/>
          <w:sz w:val="24"/>
          <w:szCs w:val="24"/>
          <w:lang w:val="es-ES_tradnl"/>
        </w:rPr>
        <w:t>CONCLUSIONES</w:t>
      </w:r>
      <w:bookmarkEnd w:id="2"/>
    </w:p>
    <w:p w:rsidR="00BF4538" w:rsidRPr="00BF4538" w:rsidRDefault="00BF4538" w:rsidP="00BF4538">
      <w:pPr>
        <w:widowControl w:val="0"/>
        <w:numPr>
          <w:ilvl w:val="0"/>
          <w:numId w:val="5"/>
        </w:num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En este estudio predominan los pacientes de más de 68 años, de raza blanca con predominio del sexo femenino en sobrevivientes y masculinos en fallecidos. La DM Tipo 2 está presente en la totalidad de los casos con una media de más de 10 años de evolución en la serie y más de 25 años en los fallecidos. El principal tratamiento</w:t>
      </w:r>
      <w:r w:rsidRPr="00BF4538">
        <w:rPr>
          <w:rFonts w:ascii="Arial" w:eastAsia="Calibri" w:hAnsi="Arial" w:cs="Arial"/>
          <w:sz w:val="24"/>
          <w:szCs w:val="24"/>
          <w:lang w:val="es-ES"/>
        </w:rPr>
        <w:t xml:space="preserve"> es </w:t>
      </w:r>
      <w:r w:rsidRPr="00BF4538">
        <w:rPr>
          <w:rFonts w:ascii="Arial" w:eastAsia="Times New Roman" w:hAnsi="Arial" w:cs="Arial"/>
          <w:sz w:val="24"/>
          <w:szCs w:val="24"/>
          <w:lang w:val="es-ES"/>
        </w:rPr>
        <w:t>con dieta e hipoglucemiantes orales. La mayoría de los pacientes tienen una buena adherencia al tratamiento y predomina el estadio 2 de Wagner al entrar al estudio.</w:t>
      </w:r>
    </w:p>
    <w:p w:rsidR="00BF4538" w:rsidRPr="00BF4538" w:rsidRDefault="00BF4538" w:rsidP="00BF4538">
      <w:pPr>
        <w:widowControl w:val="0"/>
        <w:spacing w:after="0" w:line="360" w:lineRule="auto"/>
        <w:ind w:left="720"/>
        <w:jc w:val="both"/>
        <w:rPr>
          <w:rFonts w:ascii="Arial" w:eastAsia="Times New Roman" w:hAnsi="Arial" w:cs="Arial"/>
          <w:sz w:val="24"/>
          <w:szCs w:val="24"/>
          <w:lang w:val="es-ES"/>
        </w:rPr>
      </w:pPr>
    </w:p>
    <w:p w:rsidR="00BF4538" w:rsidRPr="00BF4538" w:rsidRDefault="00BF4538" w:rsidP="00BF4538">
      <w:pPr>
        <w:widowControl w:val="0"/>
        <w:numPr>
          <w:ilvl w:val="0"/>
          <w:numId w:val="5"/>
        </w:num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La mayoría de los pacientes evolucionan a la curación de la UPD al terminar el tratamiento, solo una minoría presenta recidivas. Se evidencian variadas complicaciones crónicas relacionadas con la Diabetes Mellitus en el momento de la revisión, siendo la Cardiopatía Isquémica y la Retinopatía las más frecuentes. </w:t>
      </w:r>
    </w:p>
    <w:p w:rsidR="00BF4538" w:rsidRPr="00BF4538" w:rsidRDefault="00BF4538" w:rsidP="00BF4538">
      <w:pPr>
        <w:widowControl w:val="0"/>
        <w:spacing w:after="0" w:line="360" w:lineRule="auto"/>
        <w:jc w:val="both"/>
        <w:rPr>
          <w:rFonts w:ascii="Arial" w:eastAsia="Times New Roman" w:hAnsi="Arial" w:cs="Arial"/>
          <w:sz w:val="24"/>
          <w:szCs w:val="24"/>
          <w:lang w:val="es-ES"/>
        </w:rPr>
      </w:pPr>
    </w:p>
    <w:p w:rsidR="00BF4538" w:rsidRDefault="00BF4538" w:rsidP="00BF4538">
      <w:pPr>
        <w:widowControl w:val="0"/>
        <w:numPr>
          <w:ilvl w:val="0"/>
          <w:numId w:val="5"/>
        </w:numPr>
        <w:spacing w:after="0" w:line="360" w:lineRule="auto"/>
        <w:jc w:val="both"/>
        <w:rPr>
          <w:rFonts w:ascii="Arial" w:eastAsia="Times New Roman" w:hAnsi="Arial" w:cs="Arial"/>
          <w:sz w:val="24"/>
          <w:szCs w:val="24"/>
          <w:lang w:val="es-ES"/>
        </w:rPr>
      </w:pPr>
      <w:r w:rsidRPr="00BF4538">
        <w:rPr>
          <w:rFonts w:ascii="Arial" w:eastAsia="Times New Roman" w:hAnsi="Arial" w:cs="Arial"/>
          <w:sz w:val="24"/>
          <w:szCs w:val="24"/>
          <w:lang w:val="es-ES"/>
        </w:rPr>
        <w:t xml:space="preserve">La mayoría de los pacientes refieren una Calidad de Vida relacionada con la Salud regular, siendo los aspectos subjetivos del componente mental de roles los que más se refieren como causantes de la mala calidad. </w:t>
      </w:r>
    </w:p>
    <w:p w:rsidR="00AD5EA6" w:rsidRDefault="00AD5EA6" w:rsidP="00AD5EA6">
      <w:pPr>
        <w:pStyle w:val="Prrafodelista"/>
        <w:rPr>
          <w:rFonts w:ascii="Arial" w:eastAsia="Times New Roman" w:hAnsi="Arial" w:cs="Arial"/>
          <w:sz w:val="24"/>
          <w:szCs w:val="24"/>
          <w:lang w:val="es-ES"/>
        </w:rPr>
      </w:pPr>
    </w:p>
    <w:p w:rsidR="00BF4538" w:rsidRPr="00BF4538" w:rsidRDefault="00BF4538" w:rsidP="00BF4538">
      <w:pPr>
        <w:spacing w:before="100" w:beforeAutospacing="1" w:after="100" w:afterAutospacing="1" w:line="360" w:lineRule="auto"/>
        <w:jc w:val="both"/>
        <w:rPr>
          <w:rFonts w:ascii="Arial" w:eastAsia="Calibri" w:hAnsi="Arial" w:cs="Arial"/>
          <w:b/>
          <w:sz w:val="24"/>
          <w:szCs w:val="24"/>
        </w:rPr>
      </w:pPr>
      <w:r w:rsidRPr="00BF4538">
        <w:rPr>
          <w:rFonts w:ascii="Arial" w:eastAsia="Calibri" w:hAnsi="Arial" w:cs="Arial"/>
          <w:b/>
          <w:sz w:val="24"/>
          <w:szCs w:val="24"/>
        </w:rPr>
        <w:t>REFERENCIAS BIBLIOGRÁFICAS</w:t>
      </w:r>
    </w:p>
    <w:p w:rsidR="00BF4538" w:rsidRPr="00BF4538" w:rsidRDefault="00BF4538" w:rsidP="00BF4538">
      <w:pPr>
        <w:numPr>
          <w:ilvl w:val="0"/>
          <w:numId w:val="6"/>
        </w:numPr>
        <w:tabs>
          <w:tab w:val="left" w:pos="426"/>
          <w:tab w:val="left" w:pos="567"/>
        </w:tabs>
        <w:spacing w:before="100" w:beforeAutospacing="1" w:after="100" w:afterAutospacing="1" w:line="360" w:lineRule="auto"/>
        <w:ind w:left="142"/>
        <w:jc w:val="both"/>
        <w:rPr>
          <w:rFonts w:ascii="Arial" w:eastAsia="Calibri" w:hAnsi="Arial" w:cs="Arial"/>
          <w:sz w:val="24"/>
          <w:szCs w:val="24"/>
        </w:rPr>
      </w:pPr>
      <w:r w:rsidRPr="00BF4538">
        <w:rPr>
          <w:rFonts w:ascii="Arial" w:eastAsia="Calibri" w:hAnsi="Arial" w:cs="Arial"/>
          <w:sz w:val="24"/>
          <w:szCs w:val="24"/>
          <w:lang w:val="en-US"/>
        </w:rPr>
        <w:t xml:space="preserve">Paneni F, Cosentino F, Epidemiology, Definition, and Diagnosis of Diabetes Mellitus. </w:t>
      </w:r>
      <w:r w:rsidRPr="00BF4538">
        <w:rPr>
          <w:rFonts w:ascii="Arial" w:eastAsia="Calibri" w:hAnsi="Arial" w:cs="Arial"/>
          <w:sz w:val="24"/>
          <w:szCs w:val="24"/>
        </w:rPr>
        <w:t xml:space="preserve">Editorial Springer, EUA, 2018. </w:t>
      </w:r>
    </w:p>
    <w:p w:rsidR="00BF4538" w:rsidRPr="00BF4538" w:rsidRDefault="00BF4538" w:rsidP="00BF4538">
      <w:pPr>
        <w:numPr>
          <w:ilvl w:val="0"/>
          <w:numId w:val="6"/>
        </w:numPr>
        <w:tabs>
          <w:tab w:val="left" w:pos="426"/>
          <w:tab w:val="left" w:pos="567"/>
        </w:tabs>
        <w:autoSpaceDE w:val="0"/>
        <w:autoSpaceDN w:val="0"/>
        <w:adjustRightInd w:val="0"/>
        <w:spacing w:before="100" w:beforeAutospacing="1" w:after="100" w:afterAutospacing="1" w:line="360" w:lineRule="auto"/>
        <w:ind w:left="142"/>
        <w:jc w:val="both"/>
        <w:rPr>
          <w:rFonts w:ascii="Arial" w:eastAsia="Calibri" w:hAnsi="Arial" w:cs="Arial"/>
          <w:sz w:val="24"/>
          <w:szCs w:val="24"/>
          <w:lang w:eastAsia="es-ES"/>
        </w:rPr>
      </w:pPr>
      <w:r w:rsidRPr="00BF4538">
        <w:rPr>
          <w:rFonts w:ascii="Arial" w:eastAsia="Calibri" w:hAnsi="Arial" w:cs="Arial"/>
          <w:sz w:val="24"/>
          <w:szCs w:val="24"/>
        </w:rPr>
        <w:t>Anuario Estadístico de Salud  2020.República de Cuba</w:t>
      </w:r>
      <w:r w:rsidRPr="00BF4538">
        <w:rPr>
          <w:rFonts w:ascii="Arial" w:eastAsia="Calibri" w:hAnsi="Arial" w:cs="Arial"/>
          <w:bCs/>
          <w:sz w:val="24"/>
          <w:szCs w:val="24"/>
          <w:lang w:eastAsia="es-ES"/>
        </w:rPr>
        <w:t xml:space="preserve"> .ISSN: 1561-4433</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color w:val="0000FF"/>
          <w:sz w:val="24"/>
          <w:szCs w:val="24"/>
          <w:u w:val="single"/>
        </w:rPr>
      </w:pPr>
      <w:r w:rsidRPr="00BF4538">
        <w:rPr>
          <w:rFonts w:ascii="Arial" w:eastAsia="Calibri" w:hAnsi="Arial" w:cs="Arial"/>
          <w:sz w:val="24"/>
          <w:szCs w:val="24"/>
        </w:rPr>
        <w:t xml:space="preserve">García  Herrera  AL. El  pie  diabético  en  cifras.  Apuntes  de  una  epidemia. Rev.Med.Electrón.  [Internet]. 2018  Ago;  38(4 ): 514-516. Disponible </w:t>
      </w:r>
      <w:r w:rsidRPr="00BF4538">
        <w:rPr>
          <w:rFonts w:ascii="Arial" w:eastAsia="Calibri" w:hAnsi="Arial" w:cs="Arial"/>
          <w:sz w:val="24"/>
          <w:szCs w:val="24"/>
        </w:rPr>
        <w:lastRenderedPageBreak/>
        <w:t>en:</w:t>
      </w:r>
      <w:hyperlink r:id="rId10" w:history="1">
        <w:r w:rsidRPr="00BF4538">
          <w:rPr>
            <w:rFonts w:ascii="Arial" w:eastAsia="Calibri" w:hAnsi="Arial" w:cs="Arial"/>
            <w:color w:val="0000FF"/>
            <w:sz w:val="24"/>
            <w:szCs w:val="24"/>
            <w:u w:val="single"/>
          </w:rPr>
          <w:t>http://scielo.sld.cu/scielo.php?script=sci_arttext&amp;pid=S1684182420160004000&amp;lng=es</w:t>
        </w:r>
      </w:hyperlink>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sz w:val="24"/>
          <w:szCs w:val="24"/>
        </w:rPr>
      </w:pPr>
      <w:r w:rsidRPr="00BF4538">
        <w:rPr>
          <w:rFonts w:ascii="Arial" w:eastAsia="Calibri" w:hAnsi="Arial" w:cs="Arial"/>
          <w:sz w:val="24"/>
          <w:szCs w:val="24"/>
          <w:lang w:val="en-US"/>
        </w:rPr>
        <w:t xml:space="preserve">Forouhi, N. G., &amp; Wareham, N. J. (2019). </w:t>
      </w:r>
      <w:r w:rsidRPr="00BF4538">
        <w:rPr>
          <w:rFonts w:ascii="Arial" w:eastAsia="Calibri" w:hAnsi="Arial" w:cs="Arial"/>
          <w:sz w:val="24"/>
          <w:szCs w:val="24"/>
        </w:rPr>
        <w:t>Epidemiology of diabetes. Medicine, 47(1), 22-27.</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color w:val="0000FF"/>
          <w:sz w:val="24"/>
          <w:szCs w:val="24"/>
          <w:u w:val="single"/>
        </w:rPr>
      </w:pPr>
      <w:r w:rsidRPr="00BF4538">
        <w:rPr>
          <w:rFonts w:ascii="Arial" w:eastAsia="Calibri" w:hAnsi="Arial" w:cs="Arial"/>
          <w:sz w:val="24"/>
          <w:szCs w:val="24"/>
        </w:rPr>
        <w:t xml:space="preserve">González Rodríguez R, Cardentey García J, Casanova Moreno Md. Resultados del Heberprot-P® en pacientes con úlceras de pie diabético. AMC. 2018; 19(4). Disponible en: </w:t>
      </w:r>
      <w:hyperlink r:id="rId11" w:history="1">
        <w:r w:rsidRPr="00BF4538">
          <w:rPr>
            <w:rFonts w:ascii="Arial" w:eastAsia="Calibri" w:hAnsi="Arial" w:cs="Arial"/>
            <w:color w:val="0000FF"/>
            <w:sz w:val="24"/>
            <w:szCs w:val="24"/>
            <w:u w:val="single"/>
          </w:rPr>
          <w:t>http://www.revistaamc.sld.cu/index.php/amc/article/view/3871</w:t>
        </w:r>
      </w:hyperlink>
    </w:p>
    <w:p w:rsidR="00BF4538" w:rsidRPr="00BF4538" w:rsidRDefault="00BF4538" w:rsidP="00BF4538">
      <w:pPr>
        <w:numPr>
          <w:ilvl w:val="0"/>
          <w:numId w:val="6"/>
        </w:numPr>
        <w:tabs>
          <w:tab w:val="left" w:pos="426"/>
          <w:tab w:val="left" w:pos="567"/>
        </w:tabs>
        <w:autoSpaceDE w:val="0"/>
        <w:autoSpaceDN w:val="0"/>
        <w:adjustRightInd w:val="0"/>
        <w:spacing w:before="100" w:beforeAutospacing="1" w:after="100" w:afterAutospacing="1" w:line="360" w:lineRule="auto"/>
        <w:ind w:left="142"/>
        <w:jc w:val="both"/>
        <w:rPr>
          <w:rFonts w:ascii="Arial" w:eastAsia="Calibri" w:hAnsi="Arial" w:cs="Arial"/>
          <w:color w:val="000000"/>
          <w:sz w:val="24"/>
          <w:szCs w:val="24"/>
          <w:u w:val="single"/>
          <w:lang w:val="es-US" w:eastAsia="es-ES"/>
        </w:rPr>
      </w:pPr>
      <w:r w:rsidRPr="00BF4538">
        <w:rPr>
          <w:rFonts w:ascii="Arial" w:eastAsia="Calibri" w:hAnsi="Arial" w:cs="Arial"/>
          <w:sz w:val="24"/>
          <w:szCs w:val="24"/>
        </w:rPr>
        <w:t>Irma Niurka Falcón Fariñas,Odalys Escalante Padrón, Ailyn Nordelo Valdivia .</w:t>
      </w:r>
      <w:r w:rsidRPr="00BF4538">
        <w:rPr>
          <w:rFonts w:ascii="Arial" w:eastAsia="Calibri" w:hAnsi="Arial" w:cs="Arial"/>
          <w:bCs/>
          <w:sz w:val="24"/>
          <w:szCs w:val="24"/>
        </w:rPr>
        <w:t>Evaluación social del tratamiento con el Heberprot-p</w:t>
      </w:r>
      <w:r w:rsidRPr="00BF4538">
        <w:rPr>
          <w:rFonts w:ascii="Arial" w:eastAsia="Calibri" w:hAnsi="Arial" w:cs="Arial"/>
          <w:bCs/>
          <w:sz w:val="24"/>
          <w:szCs w:val="24"/>
          <w:vertAlign w:val="superscript"/>
        </w:rPr>
        <w:t>®</w:t>
      </w:r>
      <w:r w:rsidRPr="00BF4538">
        <w:rPr>
          <w:rFonts w:ascii="Arial" w:eastAsia="Calibri" w:hAnsi="Arial" w:cs="Arial"/>
          <w:bCs/>
          <w:sz w:val="24"/>
          <w:szCs w:val="24"/>
        </w:rPr>
        <w:t xml:space="preserve"> en la asistencia primaria de salud.</w:t>
      </w:r>
      <w:r w:rsidRPr="00BF4538">
        <w:rPr>
          <w:rFonts w:ascii="Arial" w:eastAsia="Calibri" w:hAnsi="Arial" w:cs="Arial"/>
          <w:sz w:val="24"/>
          <w:szCs w:val="24"/>
        </w:rPr>
        <w:t xml:space="preserve"> Rev Cubana Angiol Cir Vasc vol.19 no.1 La Habana ene.-jun. 2018. </w:t>
      </w:r>
      <w:r w:rsidRPr="00BF4538">
        <w:rPr>
          <w:rFonts w:ascii="Arial" w:eastAsia="Calibri" w:hAnsi="Arial" w:cs="Arial"/>
          <w:bCs/>
          <w:sz w:val="24"/>
          <w:szCs w:val="24"/>
        </w:rPr>
        <w:t xml:space="preserve">Disponible en: </w:t>
      </w:r>
      <w:hyperlink r:id="rId12" w:history="1">
        <w:r w:rsidRPr="00BF4538">
          <w:rPr>
            <w:rFonts w:ascii="Arial" w:eastAsia="Calibri" w:hAnsi="Arial" w:cs="Arial"/>
            <w:bCs/>
            <w:color w:val="0000FF"/>
            <w:sz w:val="24"/>
            <w:szCs w:val="24"/>
            <w:u w:val="single"/>
          </w:rPr>
          <w:t>http://scielo.sld.cu/scielo.php?script=sci_arttext&amp;pid=S1682-00372018000100007&amp;nrm=iso</w:t>
        </w:r>
      </w:hyperlink>
    </w:p>
    <w:p w:rsidR="00BF4538" w:rsidRPr="00BF4538" w:rsidRDefault="00BF4538" w:rsidP="00BF4538">
      <w:pPr>
        <w:numPr>
          <w:ilvl w:val="0"/>
          <w:numId w:val="6"/>
        </w:numPr>
        <w:tabs>
          <w:tab w:val="left" w:pos="426"/>
          <w:tab w:val="left" w:pos="567"/>
        </w:tabs>
        <w:autoSpaceDE w:val="0"/>
        <w:autoSpaceDN w:val="0"/>
        <w:adjustRightInd w:val="0"/>
        <w:spacing w:before="100" w:beforeAutospacing="1" w:after="100" w:afterAutospacing="1" w:line="360" w:lineRule="auto"/>
        <w:ind w:left="142"/>
        <w:jc w:val="both"/>
        <w:rPr>
          <w:rFonts w:ascii="Arial" w:eastAsia="Calibri" w:hAnsi="Arial" w:cs="Arial"/>
          <w:color w:val="000000"/>
          <w:sz w:val="24"/>
          <w:szCs w:val="24"/>
          <w:lang w:val="en-GB" w:eastAsia="es-ES"/>
        </w:rPr>
      </w:pPr>
      <w:r w:rsidRPr="00BF4538">
        <w:rPr>
          <w:rFonts w:ascii="Arial" w:eastAsia="Calibri" w:hAnsi="Arial" w:cs="Arial"/>
          <w:color w:val="000000"/>
          <w:sz w:val="24"/>
          <w:szCs w:val="24"/>
          <w:lang w:val="en-GB" w:eastAsia="es-ES"/>
        </w:rPr>
        <w:t xml:space="preserve">Centers for Disease Control and Prevention (CDC). </w:t>
      </w:r>
      <w:r w:rsidRPr="00BF4538">
        <w:rPr>
          <w:rFonts w:ascii="Arial" w:eastAsia="Calibri" w:hAnsi="Arial" w:cs="Arial"/>
          <w:color w:val="000000"/>
          <w:sz w:val="24"/>
          <w:szCs w:val="24"/>
          <w:lang w:eastAsia="es-ES"/>
        </w:rPr>
        <w:t xml:space="preserve">Diabetes Data and Trends. (en línea) Accedido Enero 2020. </w:t>
      </w:r>
      <w:r w:rsidRPr="00BF4538">
        <w:rPr>
          <w:rFonts w:ascii="Arial" w:eastAsia="Calibri" w:hAnsi="Arial" w:cs="Arial"/>
          <w:color w:val="000000"/>
          <w:sz w:val="24"/>
          <w:szCs w:val="24"/>
          <w:lang w:val="en-GB" w:eastAsia="es-ES"/>
        </w:rPr>
        <w:t xml:space="preserve">Disponible en: </w:t>
      </w:r>
      <w:hyperlink r:id="rId13" w:history="1">
        <w:r w:rsidRPr="00BF4538">
          <w:rPr>
            <w:rFonts w:ascii="Arial" w:eastAsia="Calibri" w:hAnsi="Arial" w:cs="Arial"/>
            <w:color w:val="0000FF"/>
            <w:sz w:val="24"/>
            <w:szCs w:val="24"/>
            <w:u w:val="single"/>
            <w:lang w:val="en-GB"/>
          </w:rPr>
          <w:t>http://apps.nccd.cdc.gov/DDTSTRS/default.aspx</w:t>
        </w:r>
      </w:hyperlink>
    </w:p>
    <w:p w:rsidR="00BF4538" w:rsidRPr="00BF4538" w:rsidRDefault="00BF4538" w:rsidP="00BF4538">
      <w:pPr>
        <w:numPr>
          <w:ilvl w:val="0"/>
          <w:numId w:val="6"/>
        </w:numPr>
        <w:tabs>
          <w:tab w:val="left" w:pos="567"/>
        </w:tabs>
        <w:spacing w:after="160" w:line="360" w:lineRule="auto"/>
        <w:ind w:left="142"/>
        <w:contextualSpacing/>
        <w:jc w:val="both"/>
        <w:rPr>
          <w:rFonts w:ascii="Arial" w:eastAsia="Calibri" w:hAnsi="Arial" w:cs="Arial"/>
          <w:sz w:val="24"/>
          <w:szCs w:val="24"/>
          <w:lang w:val="es-ES"/>
        </w:rPr>
      </w:pPr>
      <w:r w:rsidRPr="00BF4538">
        <w:rPr>
          <w:rFonts w:ascii="Arial" w:eastAsia="Calibri" w:hAnsi="Arial" w:cs="Arial"/>
          <w:sz w:val="24"/>
          <w:szCs w:val="24"/>
          <w:lang w:val="es-ES"/>
        </w:rPr>
        <w:t xml:space="preserve">Álvarez  López  A.  Respuesta  al  tratamiento  con  Heberprot-P®  según  la  severidad  de  la enfermedad  arterial  periférica.  Rev  Cubana  Angiol  Cir  Vasc   [Internet].  2018   Dic;   17(2): 130-137.  Disponible  en: </w:t>
      </w:r>
      <w:hyperlink r:id="rId14" w:history="1">
        <w:r w:rsidRPr="00BF4538">
          <w:rPr>
            <w:rFonts w:ascii="Arial" w:eastAsia="Calibri" w:hAnsi="Arial" w:cs="Arial"/>
            <w:color w:val="0000FF"/>
            <w:sz w:val="24"/>
            <w:szCs w:val="24"/>
            <w:u w:val="single"/>
            <w:lang w:val="es-ES"/>
          </w:rPr>
          <w:t>http://scieloprueba.sld.cu/scielo.php?script=sci_arttext&amp;pid=S168200372016000200003&amp;lng=es</w:t>
        </w:r>
      </w:hyperlink>
      <w:r w:rsidRPr="00BF4538">
        <w:rPr>
          <w:rFonts w:ascii="Arial" w:eastAsia="Calibri" w:hAnsi="Arial" w:cs="Arial"/>
          <w:sz w:val="24"/>
          <w:szCs w:val="24"/>
          <w:lang w:val="es-ES"/>
        </w:rPr>
        <w:t>.</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sz w:val="24"/>
          <w:szCs w:val="24"/>
        </w:rPr>
      </w:pPr>
      <w:r w:rsidRPr="00BF4538">
        <w:rPr>
          <w:rFonts w:ascii="Arial" w:eastAsia="Calibri" w:hAnsi="Arial" w:cs="Arial"/>
          <w:sz w:val="24"/>
          <w:szCs w:val="24"/>
        </w:rPr>
        <w:t>León Martin, A. M. Evolución clínica, sobrevida y calidad de vida de pacientes tratados con Heberprot-P. Área Norte. Sancti-Spíritus. Trabajo de terminación de la especialidad. 2011-2016.</w:t>
      </w:r>
    </w:p>
    <w:p w:rsidR="00BF4538" w:rsidRPr="00BF4538" w:rsidRDefault="00BF4538" w:rsidP="00BF4538">
      <w:pPr>
        <w:numPr>
          <w:ilvl w:val="0"/>
          <w:numId w:val="6"/>
        </w:numPr>
        <w:tabs>
          <w:tab w:val="left" w:pos="426"/>
          <w:tab w:val="left" w:pos="567"/>
        </w:tabs>
        <w:autoSpaceDE w:val="0"/>
        <w:autoSpaceDN w:val="0"/>
        <w:adjustRightInd w:val="0"/>
        <w:spacing w:before="100" w:beforeAutospacing="1" w:after="100" w:afterAutospacing="1" w:line="360" w:lineRule="auto"/>
        <w:ind w:left="142"/>
        <w:jc w:val="both"/>
        <w:rPr>
          <w:rFonts w:ascii="Arial" w:eastAsia="Calibri" w:hAnsi="Arial" w:cs="Arial"/>
          <w:color w:val="000000"/>
          <w:sz w:val="24"/>
          <w:szCs w:val="24"/>
          <w:u w:val="single"/>
          <w:lang w:val="es-ES" w:eastAsia="es-ES"/>
        </w:rPr>
      </w:pPr>
      <w:r w:rsidRPr="00BF4538">
        <w:rPr>
          <w:rFonts w:ascii="Arial" w:eastAsia="Calibri" w:hAnsi="Arial" w:cs="Arial"/>
          <w:color w:val="000000"/>
          <w:sz w:val="24"/>
          <w:szCs w:val="24"/>
          <w:lang w:eastAsia="es-ES"/>
        </w:rPr>
        <w:t xml:space="preserve">Vilaguta G., Ferrera M., Rajmilb L., Rebolloc P., et al: El Cuestionario de Salud SF-36 español: una década de experiencia y nuevos desarrollos.  </w:t>
      </w:r>
      <w:r w:rsidRPr="00BF4538">
        <w:rPr>
          <w:rFonts w:ascii="Arial" w:eastAsia="Calibri" w:hAnsi="Arial" w:cs="Arial"/>
          <w:color w:val="000000"/>
          <w:sz w:val="24"/>
          <w:szCs w:val="24"/>
          <w:lang w:val="en-US" w:eastAsia="es-ES"/>
        </w:rPr>
        <w:t>Gac Sanit. 2005;19(2):135-50</w:t>
      </w:r>
      <w:r w:rsidRPr="00BF4538">
        <w:rPr>
          <w:rFonts w:ascii="Arial" w:eastAsia="Calibri" w:hAnsi="Arial" w:cs="Arial"/>
          <w:sz w:val="24"/>
          <w:szCs w:val="24"/>
          <w:lang w:val="en-US"/>
        </w:rPr>
        <w:t xml:space="preserve"> Feldman  EL,  McCulloch  DK.  Treatment  of  diabetic  neuropathy. </w:t>
      </w:r>
      <w:r w:rsidRPr="00BF4538">
        <w:rPr>
          <w:rFonts w:ascii="Arial" w:eastAsia="Calibri" w:hAnsi="Arial" w:cs="Arial"/>
          <w:sz w:val="24"/>
          <w:szCs w:val="24"/>
          <w:lang w:val="es-ES"/>
        </w:rPr>
        <w:t xml:space="preserve">Disponible en: </w:t>
      </w:r>
      <w:hyperlink r:id="rId15" w:history="1">
        <w:r w:rsidRPr="00BF4538">
          <w:rPr>
            <w:rFonts w:ascii="Arial" w:eastAsia="Calibri" w:hAnsi="Arial" w:cs="Arial"/>
            <w:color w:val="0000FF"/>
            <w:sz w:val="24"/>
            <w:szCs w:val="24"/>
            <w:u w:val="single"/>
            <w:lang w:val="es-ES"/>
          </w:rPr>
          <w:t>https://www.uptodate.com/contents/treatment-of-diabetic-neuropathy</w:t>
        </w:r>
      </w:hyperlink>
    </w:p>
    <w:p w:rsidR="00BF4538" w:rsidRPr="00BF4538" w:rsidRDefault="00BF4538" w:rsidP="00BF4538">
      <w:pPr>
        <w:numPr>
          <w:ilvl w:val="0"/>
          <w:numId w:val="6"/>
        </w:numPr>
        <w:tabs>
          <w:tab w:val="left" w:pos="426"/>
          <w:tab w:val="left" w:pos="567"/>
        </w:tabs>
        <w:autoSpaceDE w:val="0"/>
        <w:autoSpaceDN w:val="0"/>
        <w:adjustRightInd w:val="0"/>
        <w:spacing w:before="100" w:beforeAutospacing="1" w:after="100" w:afterAutospacing="1" w:line="360" w:lineRule="auto"/>
        <w:ind w:left="142"/>
        <w:jc w:val="both"/>
        <w:rPr>
          <w:rFonts w:ascii="Arial" w:eastAsia="Calibri" w:hAnsi="Arial" w:cs="Arial"/>
          <w:color w:val="000000"/>
          <w:sz w:val="24"/>
          <w:szCs w:val="24"/>
          <w:lang w:val="es-ES" w:eastAsia="es-ES"/>
        </w:rPr>
      </w:pPr>
      <w:r w:rsidRPr="00BF4538">
        <w:rPr>
          <w:rFonts w:ascii="Arial" w:eastAsia="Calibri" w:hAnsi="Arial" w:cs="Arial"/>
          <w:sz w:val="24"/>
          <w:szCs w:val="24"/>
          <w:lang w:val="en-US"/>
        </w:rPr>
        <w:t xml:space="preserve">International Diabetes Federation (2019) IDF diabetes atlas, 9th edn. </w:t>
      </w:r>
      <w:r w:rsidRPr="00BF4538">
        <w:rPr>
          <w:rFonts w:ascii="Arial" w:eastAsia="Calibri" w:hAnsi="Arial" w:cs="Arial"/>
          <w:sz w:val="24"/>
          <w:szCs w:val="24"/>
          <w:lang w:val="es-ES_tradnl"/>
        </w:rPr>
        <w:t xml:space="preserve">International Diabetes Federation, Brussels. </w:t>
      </w:r>
      <w:r w:rsidRPr="00BF4538">
        <w:rPr>
          <w:rFonts w:ascii="Arial" w:eastAsia="Calibri" w:hAnsi="Arial" w:cs="Arial"/>
          <w:color w:val="262626"/>
          <w:sz w:val="24"/>
          <w:szCs w:val="24"/>
          <w:lang w:eastAsia="es-ES"/>
        </w:rPr>
        <w:t xml:space="preserve">(en línea) Accedido Febrero 2020. Disponible en: </w:t>
      </w:r>
      <w:hyperlink r:id="rId16" w:history="1">
        <w:r w:rsidRPr="00BF4538">
          <w:rPr>
            <w:rFonts w:ascii="Arial" w:eastAsia="Calibri" w:hAnsi="Arial" w:cs="Arial"/>
            <w:color w:val="0000FF"/>
            <w:sz w:val="24"/>
            <w:szCs w:val="24"/>
            <w:u w:val="single"/>
            <w:lang w:val="es-ES_tradnl"/>
          </w:rPr>
          <w:t>https://www.diabetesatlas.org/en/resources/</w:t>
        </w:r>
      </w:hyperlink>
    </w:p>
    <w:p w:rsidR="00BF4538" w:rsidRPr="00BF4538" w:rsidRDefault="00BF4538" w:rsidP="00BF4538">
      <w:pPr>
        <w:numPr>
          <w:ilvl w:val="0"/>
          <w:numId w:val="6"/>
        </w:numPr>
        <w:tabs>
          <w:tab w:val="left" w:pos="426"/>
          <w:tab w:val="left" w:pos="567"/>
        </w:tabs>
        <w:autoSpaceDE w:val="0"/>
        <w:autoSpaceDN w:val="0"/>
        <w:adjustRightInd w:val="0"/>
        <w:spacing w:before="100" w:beforeAutospacing="1" w:after="100" w:afterAutospacing="1" w:line="360" w:lineRule="auto"/>
        <w:ind w:left="142"/>
        <w:jc w:val="both"/>
        <w:rPr>
          <w:rFonts w:ascii="Arial" w:eastAsia="Calibri" w:hAnsi="Arial" w:cs="Arial"/>
          <w:color w:val="000000"/>
          <w:sz w:val="24"/>
          <w:szCs w:val="24"/>
          <w:lang w:val="en-US" w:eastAsia="es-ES"/>
        </w:rPr>
      </w:pPr>
      <w:r w:rsidRPr="00BF4538">
        <w:rPr>
          <w:rFonts w:ascii="Arial" w:eastAsia="Calibri" w:hAnsi="Arial" w:cs="Arial"/>
          <w:sz w:val="24"/>
          <w:szCs w:val="24"/>
          <w:lang w:val="en-US"/>
        </w:rPr>
        <w:lastRenderedPageBreak/>
        <w:t xml:space="preserve">World Health Organization. (2019). Classification of diabetes mellitus. </w:t>
      </w:r>
      <w:r w:rsidRPr="00BF4538">
        <w:rPr>
          <w:rFonts w:ascii="Arial" w:eastAsia="Calibri" w:hAnsi="Arial" w:cs="Arial"/>
          <w:sz w:val="24"/>
          <w:szCs w:val="24"/>
        </w:rPr>
        <w:t>ISBN 978-92-4-151570-2.</w:t>
      </w:r>
    </w:p>
    <w:p w:rsidR="00BF4538" w:rsidRPr="00BF4538" w:rsidRDefault="00BF4538" w:rsidP="00BF4538">
      <w:pPr>
        <w:numPr>
          <w:ilvl w:val="0"/>
          <w:numId w:val="6"/>
        </w:numPr>
        <w:tabs>
          <w:tab w:val="left" w:pos="426"/>
          <w:tab w:val="left" w:pos="567"/>
        </w:tabs>
        <w:autoSpaceDE w:val="0"/>
        <w:autoSpaceDN w:val="0"/>
        <w:adjustRightInd w:val="0"/>
        <w:spacing w:before="100" w:beforeAutospacing="1" w:after="100" w:afterAutospacing="1" w:line="360" w:lineRule="auto"/>
        <w:ind w:left="142"/>
        <w:jc w:val="both"/>
        <w:rPr>
          <w:rFonts w:ascii="Arial" w:eastAsia="Calibri" w:hAnsi="Arial" w:cs="Arial"/>
          <w:color w:val="000000"/>
          <w:sz w:val="24"/>
          <w:szCs w:val="24"/>
          <w:lang w:val="en-US" w:eastAsia="es-ES"/>
        </w:rPr>
      </w:pPr>
      <w:r w:rsidRPr="00BF4538">
        <w:rPr>
          <w:rFonts w:ascii="Arial" w:eastAsia="Calibri" w:hAnsi="Arial" w:cs="Arial"/>
          <w:sz w:val="24"/>
          <w:szCs w:val="24"/>
          <w:lang w:val="en-US"/>
        </w:rPr>
        <w:t xml:space="preserve">Van Netten, J. J., Bus, S. A., Apelqvist, J., Lipsky, B. A., Hinchliffe, R. J., Game, F., Senneville, E. (2019). Definitions and criteria for diabetic foot disease. Diabetes/Metabolism Research and Reviews . </w:t>
      </w:r>
    </w:p>
    <w:p w:rsidR="00BF4538" w:rsidRPr="00BF4538" w:rsidRDefault="00BF4538" w:rsidP="00BF4538">
      <w:pPr>
        <w:numPr>
          <w:ilvl w:val="0"/>
          <w:numId w:val="6"/>
        </w:numPr>
        <w:tabs>
          <w:tab w:val="left" w:pos="426"/>
          <w:tab w:val="left" w:pos="567"/>
        </w:tabs>
        <w:autoSpaceDE w:val="0"/>
        <w:autoSpaceDN w:val="0"/>
        <w:adjustRightInd w:val="0"/>
        <w:spacing w:before="100" w:beforeAutospacing="1" w:after="100" w:afterAutospacing="1" w:line="360" w:lineRule="auto"/>
        <w:ind w:left="142"/>
        <w:jc w:val="both"/>
        <w:rPr>
          <w:rFonts w:ascii="Arial" w:eastAsia="Calibri" w:hAnsi="Arial" w:cs="Arial"/>
          <w:color w:val="000000"/>
          <w:sz w:val="24"/>
          <w:szCs w:val="24"/>
          <w:lang w:val="en-US" w:eastAsia="es-ES"/>
        </w:rPr>
      </w:pPr>
      <w:r w:rsidRPr="00BF4538">
        <w:rPr>
          <w:rFonts w:ascii="Arial" w:eastAsia="Calibri" w:hAnsi="Arial" w:cs="Arial"/>
          <w:sz w:val="24"/>
          <w:szCs w:val="24"/>
        </w:rPr>
        <w:t xml:space="preserve">Rivera Rojas, F., Ceballos Vásquez, P., Vilchez Barboza, V. (2018). Calidad de Vida Relacionada con Salud y Riesgos Psicosociales: Conceptos relevantes para abordar desde la Enfermería. Index de Enfermería, 26(1-2), 58-61.  </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rPr>
        <w:t>Marínelo RJ, Blanes M.I, Escudero R.J., Ibáñez E.V., Rodríguez O.J.: Tratado de Pie Diabético. 2012. Ed 28029 Madrid. I.S.B.N. 84-88992-77-7</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t xml:space="preserve">Zheng, Y., Ley, S. H., &amp; Hu, F. B. (2018). Global aetiology and epidemiology of type 2 diabetes mellitus and its complications. </w:t>
      </w:r>
      <w:r w:rsidRPr="00BF4538">
        <w:rPr>
          <w:rFonts w:ascii="Arial" w:eastAsia="Calibri" w:hAnsi="Arial" w:cs="Arial"/>
          <w:sz w:val="24"/>
          <w:szCs w:val="24"/>
        </w:rPr>
        <w:t>Nature Reviews Endocrinology, 14(2), 88.</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color w:val="000000"/>
          <w:sz w:val="24"/>
          <w:szCs w:val="24"/>
          <w:lang w:val="en-GB" w:eastAsia="es-ES"/>
        </w:rPr>
        <w:t>Armstrong, D. G., Boulton, A. J., &amp; Bus, S. A. (2017). Diabetic foot ulcers and their recurrence. New England Journal of Medicine, 376(24), 2367-2375.</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t xml:space="preserve">Goyal, R.,  Jialal, I. (2019). Diabetes Mellitus Type 2. </w:t>
      </w:r>
      <w:r w:rsidRPr="00BF4538">
        <w:rPr>
          <w:rFonts w:ascii="Arial" w:eastAsia="Calibri" w:hAnsi="Arial" w:cs="Arial"/>
          <w:sz w:val="24"/>
          <w:szCs w:val="24"/>
        </w:rPr>
        <w:t xml:space="preserve">Europe PMC. </w:t>
      </w:r>
      <w:r w:rsidRPr="00BF4538">
        <w:rPr>
          <w:rFonts w:ascii="Arial" w:eastAsia="Calibri" w:hAnsi="Arial" w:cs="Arial"/>
          <w:color w:val="262626"/>
          <w:sz w:val="24"/>
          <w:szCs w:val="24"/>
          <w:lang w:eastAsia="es-ES"/>
        </w:rPr>
        <w:t xml:space="preserve">(en línea) Accedido Febrero 2020. Disponible en: </w:t>
      </w:r>
      <w:hyperlink r:id="rId17" w:history="1">
        <w:r w:rsidRPr="00BF4538">
          <w:rPr>
            <w:rFonts w:ascii="Arial" w:eastAsia="Calibri" w:hAnsi="Arial" w:cs="Arial"/>
            <w:color w:val="0000FF"/>
            <w:sz w:val="24"/>
            <w:szCs w:val="24"/>
            <w:u w:val="single"/>
          </w:rPr>
          <w:t>https://europepmc.org/books/NBK513253;jsessionid=9B29ED092FE23B7A2FF63CD3E9685FC6</w:t>
        </w:r>
      </w:hyperlink>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color w:val="000000"/>
          <w:sz w:val="24"/>
          <w:szCs w:val="24"/>
          <w:lang w:val="en-GB" w:eastAsia="es-ES"/>
        </w:rPr>
        <w:t>Bus SA, Netten JJ. A shift in priority in diabetic foot care and research: 75% of foot ulcers are preventable. Diabetes/metabolism research and reviews. 2018 Jan 1; 32(S1):195-200.</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color w:val="000000"/>
          <w:sz w:val="24"/>
          <w:szCs w:val="24"/>
          <w:lang w:val="en-GB" w:eastAsia="es-ES"/>
        </w:rPr>
        <w:t>Amin, N., &amp; Doupis, J. (2016). Diabetic foot disease: from the evaluation of the “foot at risk” to the novel diabetic ulcer treatment modalities. World journal of diabetes, 7(7), 153</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t xml:space="preserve">Schmidt, B. M., &amp; Holmes, C. M. (2018). Updates on diabetic foot and charcot osteopathic arthropathy. </w:t>
      </w:r>
      <w:r w:rsidRPr="00BF4538">
        <w:rPr>
          <w:rFonts w:ascii="Arial" w:eastAsia="Calibri" w:hAnsi="Arial" w:cs="Arial"/>
          <w:sz w:val="24"/>
          <w:szCs w:val="24"/>
        </w:rPr>
        <w:t xml:space="preserve">Current diabetes reports, 18(10), 74. </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t xml:space="preserve">Grigoropoulou, P., Eleftheriadou, I., Jude, E. B., &amp; Tentolouris, N. (2017). Diabetic foot infections: an update in diagnosis and management. </w:t>
      </w:r>
      <w:r w:rsidRPr="00BF4538">
        <w:rPr>
          <w:rFonts w:ascii="Arial" w:eastAsia="Calibri" w:hAnsi="Arial" w:cs="Arial"/>
          <w:sz w:val="24"/>
          <w:szCs w:val="24"/>
        </w:rPr>
        <w:t>Current diabetes reports, 17(1), 3.</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t xml:space="preserve">Boulton, A. J., Armstrong, D. G., Kirsner, R. S., Attinger, C. E., Lavery, L. A., Lipsky, B. A.,  &amp; Steinberg, J. S. (2018). </w:t>
      </w:r>
      <w:r w:rsidRPr="00BF4538">
        <w:rPr>
          <w:rFonts w:ascii="Arial" w:eastAsia="Calibri" w:hAnsi="Arial" w:cs="Arial"/>
          <w:sz w:val="24"/>
          <w:szCs w:val="24"/>
        </w:rPr>
        <w:t xml:space="preserve">Diagnosis and management of diabetic foot complications. </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t xml:space="preserve">Somayaji, R., Elliott, J. A., Persaud, R., Lim, M., Goodman, L., &amp; Sibbald, R. G. (2017). The impact of team based interprofessional comprehensive assessments on the </w:t>
      </w:r>
      <w:r w:rsidRPr="00BF4538">
        <w:rPr>
          <w:rFonts w:ascii="Arial" w:eastAsia="Calibri" w:hAnsi="Arial" w:cs="Arial"/>
          <w:sz w:val="24"/>
          <w:szCs w:val="24"/>
          <w:lang w:val="en-US"/>
        </w:rPr>
        <w:lastRenderedPageBreak/>
        <w:t xml:space="preserve">diagnosis and management of diabetic foot ulcers: a retrospective cohort study. </w:t>
      </w:r>
      <w:r w:rsidRPr="00BF4538">
        <w:rPr>
          <w:rFonts w:ascii="Arial" w:eastAsia="Calibri" w:hAnsi="Arial" w:cs="Arial"/>
          <w:sz w:val="24"/>
          <w:szCs w:val="24"/>
        </w:rPr>
        <w:t>PloS one, 12 (9).</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t xml:space="preserve">Nather, A., Cao, S., Chen, J. L. W., &amp; Low, A. Y. (2018). Prevention of diabetic foot complications. </w:t>
      </w:r>
      <w:r w:rsidRPr="00BF4538">
        <w:rPr>
          <w:rFonts w:ascii="Arial" w:eastAsia="Calibri" w:hAnsi="Arial" w:cs="Arial"/>
          <w:sz w:val="24"/>
          <w:szCs w:val="24"/>
        </w:rPr>
        <w:t xml:space="preserve">Singapore medical journal, 59(6), 291. </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rPr>
        <w:t>Beeson P, Ashford R, Raphael J. El síndrome de dolor regional complejo del pie y su gestión mediante la estimulación de la médula espinal. European Journal of Podiatry/Revista Europea de Podología. 2018.</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rPr>
        <w:t>Romero Gamboa MC, Sández López M. Evolución del pie diabético en los grados 4 y 5 de la clasificación de Wagner. Revista Cubana de Angiología y Cirugía Vascular. 2017 Jun;18 (1):71-81.</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t xml:space="preserve">Jupiter DC, Thorud JC, Buckley CJ, Shibuya N. The impact of foot ulceration and amputation on mortality in diabetic patients. I: From ulceration to death, a systematic review. International wound journal. </w:t>
      </w:r>
      <w:r w:rsidRPr="00BF4538">
        <w:rPr>
          <w:rFonts w:ascii="Arial" w:eastAsia="Calibri" w:hAnsi="Arial" w:cs="Arial"/>
          <w:sz w:val="24"/>
          <w:szCs w:val="24"/>
        </w:rPr>
        <w:t>2018 Oct 1;13 (5):892-903.</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t xml:space="preserve">Vas, P. R., Lucas, J., Arshad, S., &amp; Edmonds, M. E. (2019). Neuropathic Diabetic Foot Ulceration. </w:t>
      </w:r>
      <w:r w:rsidRPr="00BF4538">
        <w:rPr>
          <w:rFonts w:ascii="Arial" w:eastAsia="Calibri" w:hAnsi="Arial" w:cs="Arial"/>
          <w:sz w:val="24"/>
          <w:szCs w:val="24"/>
        </w:rPr>
        <w:t>In Limb Salvage of the Diabetic Foot (pp. 53-76). Springer, Cham</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color w:val="000000"/>
          <w:sz w:val="24"/>
          <w:szCs w:val="24"/>
          <w:lang w:eastAsia="es-ES"/>
        </w:rPr>
        <w:t xml:space="preserve">Yera-Alos I., Alonso-Carbonell L., Valenzuela-Silva C.,  Tuero-Iglesias A., Moreira-Martínez M., Marrero-Rodríguez M., López-Mola E., López-Saura P.: Active post-marketing surveillance of the intralesional administration of human recombinant epidermal growth factor in diabetic foot ulcers. </w:t>
      </w:r>
      <w:r w:rsidRPr="00BF4538">
        <w:rPr>
          <w:rFonts w:ascii="Arial" w:eastAsia="Calibri" w:hAnsi="Arial" w:cs="Arial"/>
          <w:color w:val="000000"/>
          <w:sz w:val="24"/>
          <w:szCs w:val="24"/>
          <w:lang w:val="en-GB" w:eastAsia="es-ES"/>
        </w:rPr>
        <w:t>BMC Pharmacology and Toxicology, 2017.</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color w:val="000000"/>
          <w:sz w:val="24"/>
          <w:szCs w:val="24"/>
          <w:lang w:val="en-GB" w:eastAsia="es-ES"/>
        </w:rPr>
        <w:t xml:space="preserve">Tesar, T., Szilberhorn, L., Nemeth, B., Nagy, B., Wawruch, M., &amp; Kalo, Z. (2019). Cost-utility analysis of Heberprot-P as an add-on therapy to good wound care for patients in Slovakia with advanced diabetic foot ulcer. </w:t>
      </w:r>
      <w:r w:rsidRPr="00BF4538">
        <w:rPr>
          <w:rFonts w:ascii="Arial" w:eastAsia="Calibri" w:hAnsi="Arial" w:cs="Arial"/>
          <w:color w:val="000000"/>
          <w:sz w:val="24"/>
          <w:szCs w:val="24"/>
          <w:lang w:eastAsia="es-ES"/>
        </w:rPr>
        <w:t xml:space="preserve">Frontiers in pharmacology, 8, 946. </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rPr>
        <w:t>Pedroso, R. M., Tapia, M. G., Tamargo, M. D. J. M., &amp; Pozo, D. P. (2019). Uso del Heberprot-P 75 en paciente con Pie diabético Grado 3. Revista de Ciencias Médicas de Pinar del Río, 23(2), 351-355.</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t xml:space="preserve">Siersma V, Thorsen H, Holstein PE, Kars M, Apelqvist J, Jude EB, Piaggesi A, Bakker K, Edmonds M, Jirkovská A, Mauricio D. Health-related quality of life predicts major amputation and death, but not healing, in people with diabetes presenting with foot ulcers: the Eurodiale study. </w:t>
      </w:r>
      <w:r w:rsidRPr="00BF4538">
        <w:rPr>
          <w:rFonts w:ascii="Arial" w:eastAsia="Calibri" w:hAnsi="Arial" w:cs="Arial"/>
          <w:sz w:val="24"/>
          <w:szCs w:val="24"/>
        </w:rPr>
        <w:t>Diabetes Care. 2018 Mar 1; 37(3):694-700.</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color w:val="000000"/>
          <w:sz w:val="24"/>
          <w:szCs w:val="24"/>
          <w:lang w:val="en-US" w:eastAsia="es-ES"/>
        </w:rPr>
        <w:lastRenderedPageBreak/>
        <w:t xml:space="preserve">Lins, L., &amp; Carvalho, F. M. (2016). SF-36 total score as a single measure of health-related quality of life: Scoping review. </w:t>
      </w:r>
      <w:r w:rsidRPr="00BF4538">
        <w:rPr>
          <w:rFonts w:ascii="Arial" w:eastAsia="Calibri" w:hAnsi="Arial" w:cs="Arial"/>
          <w:color w:val="000000"/>
          <w:sz w:val="24"/>
          <w:szCs w:val="24"/>
          <w:lang w:eastAsia="es-ES"/>
        </w:rPr>
        <w:t>SAGE open medicine, 4, 2050312116671725.</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rPr>
        <w:t xml:space="preserve">Berlanga-Acosta J, Gavilondo-Cowley J, López-Saura P, González-López T, Castro-Santana MD, López-Mola E, et al. </w:t>
      </w:r>
      <w:r w:rsidRPr="00BF4538">
        <w:rPr>
          <w:rFonts w:ascii="Arial" w:eastAsia="Calibri" w:hAnsi="Arial" w:cs="Arial"/>
          <w:sz w:val="24"/>
          <w:szCs w:val="24"/>
          <w:lang w:val="en-US"/>
        </w:rPr>
        <w:t xml:space="preserve">Epidermal growth factor in clinical practice – a review of its biological actis, clinical indications and safety implications 2009. </w:t>
      </w:r>
      <w:r w:rsidRPr="00BF4538">
        <w:rPr>
          <w:rFonts w:ascii="Arial" w:eastAsia="Calibri" w:hAnsi="Arial" w:cs="Arial"/>
          <w:sz w:val="24"/>
          <w:szCs w:val="24"/>
        </w:rPr>
        <w:t>Int Wound J. 2009;6 (5):331-46.</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t xml:space="preserve">Jeyaraman, K., Berhane, T., Hamilton, M., Chandra, A. P., &amp; Falhammar, H. (2019). Mortality in patients with diabetic foot ulcer: a retrospective study of 513 cases from a single Centre in the Northern Territory of Australia. </w:t>
      </w:r>
      <w:r w:rsidRPr="00BF4538">
        <w:rPr>
          <w:rFonts w:ascii="Arial" w:eastAsia="Calibri" w:hAnsi="Arial" w:cs="Arial"/>
          <w:sz w:val="24"/>
          <w:szCs w:val="24"/>
        </w:rPr>
        <w:t>BMC endocrine disorders, 19(1), 1</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t xml:space="preserve">Ghanassia E, Villon L, dit Dieudonné JF, Boegner C, Avignon A, Sultan A. Long-term outcome and disability of diabetic patients hospitalized for diabetic foot ulcers. </w:t>
      </w:r>
      <w:r w:rsidRPr="00BF4538">
        <w:rPr>
          <w:rFonts w:ascii="Arial" w:eastAsia="Calibri" w:hAnsi="Arial" w:cs="Arial"/>
          <w:sz w:val="24"/>
          <w:szCs w:val="24"/>
        </w:rPr>
        <w:t>Diabetes care. 2008 Jul 1; 31(7):1288-92.</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t>Walsh JW, Hoffstad OJ, Sullivan MO, Margolis DJ. Association of diabetic foot ulcer and death in a population</w:t>
      </w:r>
      <w:r w:rsidRPr="00BF4538">
        <w:rPr>
          <w:rFonts w:ascii="Cambria Math" w:eastAsia="Calibri" w:hAnsi="Cambria Math" w:cs="Cambria Math"/>
          <w:sz w:val="24"/>
          <w:szCs w:val="24"/>
          <w:lang w:val="en-US"/>
        </w:rPr>
        <w:t>‐</w:t>
      </w:r>
      <w:r w:rsidRPr="00BF4538">
        <w:rPr>
          <w:rFonts w:ascii="Arial" w:eastAsia="Calibri" w:hAnsi="Arial" w:cs="Arial"/>
          <w:sz w:val="24"/>
          <w:szCs w:val="24"/>
          <w:lang w:val="en-US"/>
        </w:rPr>
        <w:t xml:space="preserve">based cohort from the United Kingdom. </w:t>
      </w:r>
      <w:r w:rsidRPr="00BF4538">
        <w:rPr>
          <w:rFonts w:ascii="Arial" w:eastAsia="Calibri" w:hAnsi="Arial" w:cs="Arial"/>
          <w:sz w:val="24"/>
          <w:szCs w:val="24"/>
        </w:rPr>
        <w:t>Diabetic Medicine. 2018 Nov 1; 33(11):1493-8.</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t xml:space="preserve">Rubio JA, Jiménez S, Álvarez J. Clinical characteristics and mortality in patients treated in a Multidisciplinary Diabetic Foot Unit. </w:t>
      </w:r>
      <w:r w:rsidRPr="00BF4538">
        <w:rPr>
          <w:rFonts w:ascii="Arial" w:eastAsia="Calibri" w:hAnsi="Arial" w:cs="Arial"/>
          <w:sz w:val="24"/>
          <w:szCs w:val="24"/>
        </w:rPr>
        <w:t>Endocrinología, Diabetes y Nutrición (English ed.). 2017 Jun 16.</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t xml:space="preserve">Jupiter DC, Thorud JC, Buckley CJ, Shibuya N. The impact of foot ulceration and amputation on mortality in diabetic patients. I: From ulceration to death, a systematic review. International wound journal. </w:t>
      </w:r>
      <w:r w:rsidRPr="00BF4538">
        <w:rPr>
          <w:rFonts w:ascii="Arial" w:eastAsia="Calibri" w:hAnsi="Arial" w:cs="Arial"/>
          <w:sz w:val="24"/>
          <w:szCs w:val="24"/>
        </w:rPr>
        <w:t>2016 Oct 1;13 (5):892-903.</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rPr>
        <w:t xml:space="preserve">Demografía de Cuba. Wikipedia. (Internet) Accedido marzo 2020, disponible en : </w:t>
      </w:r>
      <w:hyperlink r:id="rId18" w:history="1">
        <w:r w:rsidRPr="00BF4538">
          <w:rPr>
            <w:rFonts w:ascii="Arial" w:eastAsia="Calibri" w:hAnsi="Arial" w:cs="Arial"/>
            <w:color w:val="0000FF"/>
            <w:sz w:val="24"/>
            <w:szCs w:val="24"/>
            <w:u w:val="single"/>
          </w:rPr>
          <w:t>http://es.wikipedia.org/wiki/Demograf%C3%ADa_de_Cuba</w:t>
        </w:r>
      </w:hyperlink>
      <w:r w:rsidRPr="00BF4538">
        <w:rPr>
          <w:rFonts w:ascii="Arial" w:eastAsia="Calibri" w:hAnsi="Arial" w:cs="Arial"/>
          <w:sz w:val="24"/>
          <w:szCs w:val="24"/>
        </w:rPr>
        <w:t xml:space="preserve">. </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rPr>
        <w:t xml:space="preserve">Centro de Estudios de Población y Desarrollo (CEPDE). (2016). El Color de la Piel según el Censo de Población y Viviendas 2012. (Internet) Accedido marzo 2020, disponible en : </w:t>
      </w:r>
      <w:hyperlink r:id="rId19" w:history="1">
        <w:r w:rsidRPr="00BF4538">
          <w:rPr>
            <w:rFonts w:ascii="Arial" w:eastAsia="Calibri" w:hAnsi="Arial" w:cs="Arial"/>
            <w:color w:val="0000FF"/>
            <w:sz w:val="24"/>
            <w:szCs w:val="24"/>
            <w:u w:val="single"/>
          </w:rPr>
          <w:t>http://www.onei.gob.cu/node/14718</w:t>
        </w:r>
      </w:hyperlink>
      <w:r w:rsidRPr="00BF4538">
        <w:rPr>
          <w:rFonts w:ascii="Arial" w:eastAsia="Calibri" w:hAnsi="Arial" w:cs="Arial"/>
          <w:sz w:val="24"/>
          <w:szCs w:val="24"/>
        </w:rPr>
        <w:t xml:space="preserve">. </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t xml:space="preserve">Dekker, R. G., Qin, C., Ho, B. S., &amp; Kadakia, A. R. (2016). The effect of cumulative glycemic burden on the incidence of diabetic foot disease. </w:t>
      </w:r>
      <w:r w:rsidRPr="00BF4538">
        <w:rPr>
          <w:rFonts w:ascii="Arial" w:eastAsia="Calibri" w:hAnsi="Arial" w:cs="Arial"/>
          <w:sz w:val="24"/>
          <w:szCs w:val="24"/>
        </w:rPr>
        <w:t>Journal of orthopaedic surgery and research, 11(1), 143.</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rPr>
        <w:lastRenderedPageBreak/>
        <w:t xml:space="preserve">Moeini, M., Shahriari, M., Yousefi, H., Esfandiari, J., &amp; Babaahmadi, M. (2017). </w:t>
      </w:r>
      <w:r w:rsidRPr="00BF4538">
        <w:rPr>
          <w:rFonts w:ascii="Arial" w:eastAsia="Calibri" w:hAnsi="Arial" w:cs="Arial"/>
          <w:sz w:val="24"/>
          <w:szCs w:val="24"/>
          <w:lang w:val="en-US"/>
        </w:rPr>
        <w:t xml:space="preserve">An investigation on the wound severity and its association with predisposing factors in patients with diabetic foot. </w:t>
      </w:r>
      <w:r w:rsidRPr="00BF4538">
        <w:rPr>
          <w:rFonts w:ascii="Arial" w:eastAsia="Calibri" w:hAnsi="Arial" w:cs="Arial"/>
          <w:sz w:val="24"/>
          <w:szCs w:val="24"/>
        </w:rPr>
        <w:t>Journal of Clinical Nursing and Midwifery, 5(4).</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rPr>
        <w:t>Prieto Souto, R., Miranda González, D., &amp; Tosar Pérez, M. A. (2019). Características de la población diabética en el policlínico Victoria Cuba-Angola. Revista Cubana de Medicina General Integral, 35(2).</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rPr>
        <w:t>Díaz Díaz O. La importancia de desarrollar estructuras eficientes de educación terapéutica en pacientes con diabetes. Revista Cubana de Endocrinologia. 2018 Aug;27(2):0.</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rPr>
        <w:t xml:space="preserve">Spreen MI, Martens JM, Knippenberg B, van Dijk LC, de Vries JP, Vos JA, de Borst GJ, Vonken EJ, Bijlstra OD, Wever JJ, van Eps RG. </w:t>
      </w:r>
      <w:r w:rsidRPr="00BF4538">
        <w:rPr>
          <w:rFonts w:ascii="Arial" w:eastAsia="Calibri" w:hAnsi="Arial" w:cs="Arial"/>
          <w:sz w:val="24"/>
          <w:szCs w:val="24"/>
          <w:lang w:val="en-US"/>
        </w:rPr>
        <w:t>Long</w:t>
      </w:r>
      <w:r w:rsidRPr="00BF4538">
        <w:rPr>
          <w:rFonts w:ascii="Cambria Math" w:eastAsia="Calibri" w:hAnsi="Cambria Math" w:cs="Cambria Math"/>
          <w:sz w:val="24"/>
          <w:szCs w:val="24"/>
          <w:lang w:val="en-US"/>
        </w:rPr>
        <w:t>‐</w:t>
      </w:r>
      <w:r w:rsidRPr="00BF4538">
        <w:rPr>
          <w:rFonts w:ascii="Arial" w:eastAsia="Calibri" w:hAnsi="Arial" w:cs="Arial"/>
          <w:sz w:val="24"/>
          <w:szCs w:val="24"/>
          <w:lang w:val="en-US"/>
        </w:rPr>
        <w:t>Term Follow</w:t>
      </w:r>
      <w:r w:rsidRPr="00BF4538">
        <w:rPr>
          <w:rFonts w:ascii="Cambria Math" w:eastAsia="Calibri" w:hAnsi="Cambria Math" w:cs="Cambria Math"/>
          <w:sz w:val="24"/>
          <w:szCs w:val="24"/>
          <w:lang w:val="en-US"/>
        </w:rPr>
        <w:t>‐</w:t>
      </w:r>
      <w:r w:rsidRPr="00BF4538">
        <w:rPr>
          <w:rFonts w:ascii="Arial" w:eastAsia="Calibri" w:hAnsi="Arial" w:cs="Arial"/>
          <w:sz w:val="24"/>
          <w:szCs w:val="24"/>
          <w:lang w:val="en-US"/>
        </w:rPr>
        <w:t>up of the PADI Trial: Percutaneous Transluminal Angioplasty Versus Drug</w:t>
      </w:r>
      <w:r w:rsidRPr="00BF4538">
        <w:rPr>
          <w:rFonts w:ascii="Cambria Math" w:eastAsia="Calibri" w:hAnsi="Cambria Math" w:cs="Cambria Math"/>
          <w:sz w:val="24"/>
          <w:szCs w:val="24"/>
          <w:lang w:val="en-US"/>
        </w:rPr>
        <w:t>‐</w:t>
      </w:r>
      <w:r w:rsidRPr="00BF4538">
        <w:rPr>
          <w:rFonts w:ascii="Arial" w:eastAsia="Calibri" w:hAnsi="Arial" w:cs="Arial"/>
          <w:sz w:val="24"/>
          <w:szCs w:val="24"/>
          <w:lang w:val="en-US"/>
        </w:rPr>
        <w:t xml:space="preserve">Eluting Stents for Infrapopliteal Lesions in Critical Limb Ischemia. </w:t>
      </w:r>
      <w:r w:rsidRPr="00BF4538">
        <w:rPr>
          <w:rFonts w:ascii="Arial" w:eastAsia="Calibri" w:hAnsi="Arial" w:cs="Arial"/>
          <w:sz w:val="24"/>
          <w:szCs w:val="24"/>
        </w:rPr>
        <w:t>Journal of the American Heart Association. 2017 Apr 1;6(4):e004877.</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lang w:val="en-US"/>
        </w:rPr>
      </w:pPr>
      <w:r w:rsidRPr="00BF4538">
        <w:rPr>
          <w:rFonts w:ascii="Arial" w:eastAsia="Calibri" w:hAnsi="Arial" w:cs="Arial"/>
          <w:sz w:val="24"/>
          <w:szCs w:val="24"/>
          <w:lang w:val="en-US"/>
        </w:rPr>
        <w:t>Brennan M, Hess T, Bartle B, Cooper J, Kang J, Smith M, Sohn MW, Crnich C. Predictors of Mortality Following Incident Diabetic Foot Ulcers. InOpen Forum Infectious Diseases 2019 Oct 25 (Vol. 3, No. suppl_1, p. 1149). Oxford University Press.</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t xml:space="preserve">Shin, J. Y., Roh, S. G., Sharaf, B., &amp; Lee, N. H. (2017). Risk of major limb amputation in diabetic foot ulcer and accompanying disease: a meta-analysis. </w:t>
      </w:r>
      <w:r w:rsidRPr="00BF4538">
        <w:rPr>
          <w:rFonts w:ascii="Arial" w:eastAsia="Calibri" w:hAnsi="Arial" w:cs="Arial"/>
          <w:sz w:val="24"/>
          <w:szCs w:val="24"/>
        </w:rPr>
        <w:t>Journal of Plastic, Reconstructive &amp; Aesthetic Surgery, 70(12), 1681-1688.</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rPr>
        <w:t xml:space="preserve">Landrove-Rodriguez, O., Morejón-Giraldoni, A., Venero-Fernández, S., Suárez-Medina, R., Almaguer-López, M., Pallarols-Mariño, E., &amp; Ordunez, P. (2018). </w:t>
      </w:r>
      <w:r w:rsidRPr="00BF4538">
        <w:rPr>
          <w:rFonts w:ascii="Arial" w:eastAsia="Calibri" w:hAnsi="Arial" w:cs="Arial"/>
          <w:sz w:val="24"/>
          <w:szCs w:val="24"/>
          <w:lang w:val="en-US"/>
        </w:rPr>
        <w:t xml:space="preserve">Non-communicable diseases: risk factors and actions for their prevention and control in Cuba. </w:t>
      </w:r>
      <w:r w:rsidRPr="00BF4538">
        <w:rPr>
          <w:rFonts w:ascii="Arial" w:eastAsia="Calibri" w:hAnsi="Arial" w:cs="Arial"/>
          <w:sz w:val="24"/>
          <w:szCs w:val="24"/>
        </w:rPr>
        <w:t>Rev Panam Salud Publica, 42, 1.</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lang w:val="en-US"/>
        </w:rPr>
      </w:pPr>
      <w:r w:rsidRPr="00BF4538">
        <w:rPr>
          <w:rFonts w:ascii="Arial" w:eastAsia="Calibri" w:hAnsi="Arial" w:cs="Arial"/>
          <w:sz w:val="24"/>
          <w:szCs w:val="24"/>
          <w:lang w:val="en-US"/>
        </w:rPr>
        <w:t>Hwang DJ, Lee KM, Park MS, Hee Choi S, Park JI, Cho JH, Park KH, Woo SJ. Association between diabetic foot ulcer and diabetic retinopathy. PloS one. 2017 Apr 7;12(4):e0175270.</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t xml:space="preserve">Sellman, A., Katzman, P., Andreasson, S., &amp; Löndahl, M. (2018). Presence of chronic diabetic foot ulcers is associated with more frequent and more advanced retinopathy. </w:t>
      </w:r>
      <w:r w:rsidRPr="00BF4538">
        <w:rPr>
          <w:rFonts w:ascii="Arial" w:eastAsia="Calibri" w:hAnsi="Arial" w:cs="Arial"/>
          <w:sz w:val="24"/>
          <w:szCs w:val="24"/>
        </w:rPr>
        <w:t>Diabetic Medicine, 35(10), 1364-1370.</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lang w:val="en-US"/>
        </w:rPr>
      </w:pPr>
      <w:r w:rsidRPr="00BF4538">
        <w:rPr>
          <w:rFonts w:ascii="Arial" w:eastAsia="Calibri" w:hAnsi="Arial" w:cs="Arial"/>
          <w:sz w:val="24"/>
          <w:szCs w:val="24"/>
          <w:lang w:val="en-US"/>
        </w:rPr>
        <w:lastRenderedPageBreak/>
        <w:t>Vas, P. R., Lucas, J., Arshad, S., &amp; Edmonds, M. E. (2019). Neuropathic Diabetic Foot Ulceration. In Limb Salvage of the Diabetic Foot (pp. 53-76). Springer, Cham.</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t xml:space="preserve">Jain AK, Viswanath S. Studying major amputations in a developing country using Amit Jain’s typing and scoring system for diabetic foot complications-time for standardization of diabetic foot practice. </w:t>
      </w:r>
      <w:r w:rsidRPr="00BF4538">
        <w:rPr>
          <w:rFonts w:ascii="Arial" w:eastAsia="Calibri" w:hAnsi="Arial" w:cs="Arial"/>
          <w:sz w:val="24"/>
          <w:szCs w:val="24"/>
        </w:rPr>
        <w:t>International Surgery Journal. 2018 Dec 11; 2(1):26-30.</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t xml:space="preserve">Wang C, Mai L, Yang C, Liu D, Sun K, Song W, Luo B, Li Y, Xu M, Zhang S, Li F. Reducing major lower extremity amputations after the introduction of a multidisciplinary team in patient with diabetes foot ulcer. </w:t>
      </w:r>
      <w:r w:rsidRPr="00BF4538">
        <w:rPr>
          <w:rFonts w:ascii="Arial" w:eastAsia="Calibri" w:hAnsi="Arial" w:cs="Arial"/>
          <w:sz w:val="24"/>
          <w:szCs w:val="24"/>
        </w:rPr>
        <w:t>BMC endocrine disorders. 2018 Jul 7;16(1):38.</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t xml:space="preserve">American Diabetes Association. (2020). Standards of Medical Care in Diabetes—2020. </w:t>
      </w:r>
      <w:r w:rsidRPr="00BF4538">
        <w:rPr>
          <w:rFonts w:ascii="Arial" w:eastAsia="Calibri" w:hAnsi="Arial" w:cs="Arial"/>
          <w:sz w:val="24"/>
          <w:szCs w:val="24"/>
        </w:rPr>
        <w:t>Diabetes Care, 43(Supplement 1), S66-S76.</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rPr>
        <w:t>Canino-Méndez, N., Ferrer-Herrera, I. M., Torre-Fernández, M. D. L., Bello-Campos, G., Hidalgo-León, N., &amp; Castañeda-Marín, R. (2019). Influencia del llenado del certificado de defunción en la confiabilidad de las estadísticas de mortalidad. Revista Archivo Médico de Camagüey, 23(6), 780-790.</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t xml:space="preserve">Malyar NM, Freisinger E, Meyborg M, Lüders F, Gebauer K, Reinecke H, Lawall H. Amputations and mortality in in-hospital treated patients with peripheral artery disease and diabetic foot syndrome. </w:t>
      </w:r>
      <w:r w:rsidRPr="00BF4538">
        <w:rPr>
          <w:rFonts w:ascii="Arial" w:eastAsia="Calibri" w:hAnsi="Arial" w:cs="Arial"/>
          <w:sz w:val="24"/>
          <w:szCs w:val="24"/>
        </w:rPr>
        <w:t>Journal of Diabetes and its Complications. 2016 Aug 31;30(6):1117-22.</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rPr>
        <w:t xml:space="preserve">Domínguez Emma, Seuc Armando, Aldana Deysi, Licea Manuel, Díaz Oscar, López Libia. Impacto de la diabetes sobre la duración y calidad de vida de la población cubana: años 1990, 1995, 2000 y 2003. Rev Cubana Endocrinol  [Internet]. 2006  Ago [citado  2020  Mar];  17( 2 ): Disponible en: </w:t>
      </w:r>
      <w:hyperlink r:id="rId20" w:history="1">
        <w:r w:rsidRPr="00BF4538">
          <w:rPr>
            <w:rFonts w:ascii="Arial" w:eastAsia="Calibri" w:hAnsi="Arial" w:cs="Arial"/>
            <w:color w:val="0000FF"/>
            <w:sz w:val="24"/>
            <w:szCs w:val="24"/>
            <w:u w:val="single"/>
          </w:rPr>
          <w:t>http://scielo.sld.cu/scielo.php?script=sci_arttext&amp;pid=S1561-29532006000200003&amp;lng=es</w:t>
        </w:r>
      </w:hyperlink>
      <w:r w:rsidRPr="00BF4538">
        <w:rPr>
          <w:rFonts w:ascii="Arial" w:eastAsia="Calibri" w:hAnsi="Arial" w:cs="Arial"/>
          <w:sz w:val="24"/>
          <w:szCs w:val="24"/>
        </w:rPr>
        <w:t xml:space="preserve">. </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t xml:space="preserve">Steel, A., Reece, J., &amp; Daw, A. M. (2019). Understanding the relationship between depression and diabetic foot ulcers. </w:t>
      </w:r>
      <w:r w:rsidRPr="00BF4538">
        <w:rPr>
          <w:rFonts w:ascii="Arial" w:eastAsia="Calibri" w:hAnsi="Arial" w:cs="Arial"/>
          <w:sz w:val="24"/>
          <w:szCs w:val="24"/>
        </w:rPr>
        <w:t>Journal of Social Health and Diabetes, 4(01), 017-024.</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rPr>
        <w:t xml:space="preserve">Imeni, M., Sabouhi, F., Abazari, P., &amp; Iraj, B. (2018). </w:t>
      </w:r>
      <w:r w:rsidRPr="00BF4538">
        <w:rPr>
          <w:rFonts w:ascii="Arial" w:eastAsia="Calibri" w:hAnsi="Arial" w:cs="Arial"/>
          <w:sz w:val="24"/>
          <w:szCs w:val="24"/>
          <w:lang w:val="en-US"/>
        </w:rPr>
        <w:t xml:space="preserve">The effect of spiritual care on the body image of patients undergoing amputation due to type 2 diabetes: A randomized clinical trial. </w:t>
      </w:r>
      <w:r w:rsidRPr="00BF4538">
        <w:rPr>
          <w:rFonts w:ascii="Arial" w:eastAsia="Calibri" w:hAnsi="Arial" w:cs="Arial"/>
          <w:sz w:val="24"/>
          <w:szCs w:val="24"/>
        </w:rPr>
        <w:t>Iranian journal of nursing and midwifery research, 23(4), 322.</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lastRenderedPageBreak/>
        <w:t xml:space="preserve">Del Core, M. A., Ahn, J., Wukich, D. K., Liu, G. T., Lalli, T., VanPelt, M. D., &amp; Raspovic, K. M. (2018). Gender Differences on SF-36 Patient-Reported Outcomes of Diabetic Foot Disease. </w:t>
      </w:r>
      <w:r w:rsidRPr="00BF4538">
        <w:rPr>
          <w:rFonts w:ascii="Arial" w:eastAsia="Calibri" w:hAnsi="Arial" w:cs="Arial"/>
          <w:sz w:val="24"/>
          <w:szCs w:val="24"/>
        </w:rPr>
        <w:t>The international journal of lower extremity wounds, 17(2), 87-93.</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lang w:val="en-US"/>
        </w:rPr>
        <w:t xml:space="preserve">Wukich DK, Sambenedetto TL, Mota NM, Suder NC, Rosario BL. Correlation of SF-36 and SF-12 Component Scores in Patients With Diabetic Foot Disease. </w:t>
      </w:r>
      <w:r w:rsidRPr="00BF4538">
        <w:rPr>
          <w:rFonts w:ascii="Arial" w:eastAsia="Calibri" w:hAnsi="Arial" w:cs="Arial"/>
          <w:sz w:val="24"/>
          <w:szCs w:val="24"/>
        </w:rPr>
        <w:t>The Journal of Foot and Ankle Surgery. 2016 Aug 31; 55(4):693-6.</w:t>
      </w:r>
    </w:p>
    <w:p w:rsidR="00BF4538" w:rsidRPr="00BF4538" w:rsidRDefault="00BF4538" w:rsidP="00BF4538">
      <w:pPr>
        <w:numPr>
          <w:ilvl w:val="0"/>
          <w:numId w:val="6"/>
        </w:num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r w:rsidRPr="00BF4538">
        <w:rPr>
          <w:rFonts w:ascii="Arial" w:eastAsia="Calibri" w:hAnsi="Arial" w:cs="Arial"/>
          <w:sz w:val="24"/>
          <w:szCs w:val="24"/>
        </w:rPr>
        <w:t>Moreno MD, Despaigne DA, Ramos GS, Delgado MT. Efectividad de una estrategia educativa dirigida a adultos mayores diabéticos tipo 2 y proveedores de salud. Revista Cubana de Salud Pública. 2019 Jun 27; 43(3).</w:t>
      </w:r>
    </w:p>
    <w:p w:rsidR="00BF4538" w:rsidRPr="00BF4538" w:rsidRDefault="00BF4538" w:rsidP="00BF4538">
      <w:pPr>
        <w:tabs>
          <w:tab w:val="left" w:pos="426"/>
        </w:tabs>
        <w:autoSpaceDE w:val="0"/>
        <w:autoSpaceDN w:val="0"/>
        <w:adjustRightInd w:val="0"/>
        <w:spacing w:before="100" w:beforeAutospacing="1" w:after="100" w:afterAutospacing="1" w:line="360" w:lineRule="auto"/>
        <w:ind w:left="142"/>
        <w:jc w:val="both"/>
        <w:rPr>
          <w:rFonts w:ascii="Arial" w:eastAsia="Calibri" w:hAnsi="Arial" w:cs="Arial"/>
          <w:b/>
          <w:sz w:val="24"/>
          <w:szCs w:val="24"/>
        </w:rPr>
      </w:pPr>
    </w:p>
    <w:p w:rsidR="00BF4538" w:rsidRPr="00BF4538" w:rsidRDefault="00BF4538" w:rsidP="00BF4538">
      <w:pPr>
        <w:spacing w:after="0" w:line="360" w:lineRule="auto"/>
        <w:jc w:val="both"/>
        <w:rPr>
          <w:rFonts w:ascii="Arial" w:eastAsia="SimSun" w:hAnsi="Arial" w:cs="Arial"/>
          <w:kern w:val="2"/>
          <w:sz w:val="24"/>
          <w:szCs w:val="24"/>
          <w:lang w:val="es-ES" w:eastAsia="zh-CN"/>
        </w:rPr>
      </w:pPr>
    </w:p>
    <w:p w:rsidR="00BF4538" w:rsidRPr="00F31471" w:rsidRDefault="00BF4538" w:rsidP="00BF4538">
      <w:pPr>
        <w:spacing w:after="0" w:line="360" w:lineRule="auto"/>
        <w:jc w:val="both"/>
        <w:rPr>
          <w:rFonts w:ascii="Arial" w:eastAsia="Times New Roman" w:hAnsi="Arial" w:cs="Arial"/>
          <w:sz w:val="24"/>
          <w:szCs w:val="24"/>
          <w:lang w:val="es-ES"/>
        </w:rPr>
      </w:pPr>
    </w:p>
    <w:p w:rsidR="00F31471" w:rsidRPr="00BF4538" w:rsidRDefault="00F31471" w:rsidP="00BF4538">
      <w:pPr>
        <w:spacing w:after="0" w:line="360" w:lineRule="auto"/>
        <w:jc w:val="both"/>
        <w:rPr>
          <w:rFonts w:ascii="Arial" w:eastAsia="Times New Roman" w:hAnsi="Arial" w:cs="Arial"/>
          <w:sz w:val="24"/>
          <w:szCs w:val="24"/>
          <w:lang w:eastAsia="es-ES"/>
        </w:rPr>
      </w:pPr>
    </w:p>
    <w:p w:rsidR="00F31471" w:rsidRPr="00BF4538" w:rsidRDefault="00F31471" w:rsidP="00BF4538">
      <w:pPr>
        <w:spacing w:line="360" w:lineRule="auto"/>
        <w:jc w:val="both"/>
        <w:rPr>
          <w:rFonts w:ascii="Arial" w:hAnsi="Arial" w:cs="Arial"/>
          <w:sz w:val="24"/>
          <w:szCs w:val="24"/>
        </w:rPr>
      </w:pPr>
    </w:p>
    <w:sectPr w:rsidR="00F31471" w:rsidRPr="00BF4538" w:rsidSect="00684E36">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E36" w:rsidRDefault="00684E36" w:rsidP="00684E36">
      <w:pPr>
        <w:spacing w:after="0" w:line="240" w:lineRule="auto"/>
      </w:pPr>
      <w:r>
        <w:separator/>
      </w:r>
    </w:p>
  </w:endnote>
  <w:endnote w:type="continuationSeparator" w:id="0">
    <w:p w:rsidR="00684E36" w:rsidRDefault="00684E36" w:rsidP="0068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E36" w:rsidRDefault="00684E36" w:rsidP="00684E36">
      <w:pPr>
        <w:spacing w:after="0" w:line="240" w:lineRule="auto"/>
      </w:pPr>
      <w:r>
        <w:separator/>
      </w:r>
    </w:p>
  </w:footnote>
  <w:footnote w:type="continuationSeparator" w:id="0">
    <w:p w:rsidR="00684E36" w:rsidRDefault="00684E36" w:rsidP="00684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407CAE"/>
    <w:multiLevelType w:val="hybridMultilevel"/>
    <w:tmpl w:val="FC24B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0D04C69"/>
    <w:multiLevelType w:val="multilevel"/>
    <w:tmpl w:val="407410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2686F86"/>
    <w:multiLevelType w:val="hybridMultilevel"/>
    <w:tmpl w:val="674E91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8FA1601"/>
    <w:multiLevelType w:val="hybridMultilevel"/>
    <w:tmpl w:val="0310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1E3530B"/>
    <w:multiLevelType w:val="hybridMultilevel"/>
    <w:tmpl w:val="3A6CA502"/>
    <w:lvl w:ilvl="0" w:tplc="EDC8B70C">
      <w:start w:val="1"/>
      <w:numFmt w:val="decimal"/>
      <w:lvlText w:val="%1."/>
      <w:lvlJc w:val="left"/>
      <w:pPr>
        <w:ind w:left="927"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9E05DF1"/>
    <w:multiLevelType w:val="hybridMultilevel"/>
    <w:tmpl w:val="4C8CE7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E1"/>
    <w:rsid w:val="00000F71"/>
    <w:rsid w:val="00105735"/>
    <w:rsid w:val="001D1F11"/>
    <w:rsid w:val="002D4836"/>
    <w:rsid w:val="00664F42"/>
    <w:rsid w:val="00684E36"/>
    <w:rsid w:val="0071513E"/>
    <w:rsid w:val="009D5E4F"/>
    <w:rsid w:val="00A640C5"/>
    <w:rsid w:val="00AD00E1"/>
    <w:rsid w:val="00AD5EA6"/>
    <w:rsid w:val="00B64A86"/>
    <w:rsid w:val="00BF4538"/>
    <w:rsid w:val="00C72A46"/>
    <w:rsid w:val="00F00BAE"/>
    <w:rsid w:val="00F31471"/>
    <w:rsid w:val="00F35E49"/>
    <w:rsid w:val="00F604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F344E0E-5C91-46BD-9E5A-E000286C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A86"/>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B64A86"/>
    <w:rPr>
      <w:rFonts w:ascii="Calibri" w:hAnsi="Calibri"/>
      <w:lang w:eastAsia="es-ES"/>
    </w:rPr>
  </w:style>
  <w:style w:type="paragraph" w:styleId="Sinespaciado">
    <w:name w:val="No Spacing"/>
    <w:link w:val="SinespaciadoCar"/>
    <w:uiPriority w:val="1"/>
    <w:qFormat/>
    <w:rsid w:val="00B64A86"/>
    <w:pPr>
      <w:spacing w:after="0" w:line="240" w:lineRule="auto"/>
    </w:pPr>
    <w:rPr>
      <w:rFonts w:ascii="Calibri" w:hAnsi="Calibri"/>
      <w:lang w:eastAsia="es-ES"/>
    </w:rPr>
  </w:style>
  <w:style w:type="character" w:styleId="Hipervnculo">
    <w:name w:val="Hyperlink"/>
    <w:basedOn w:val="Fuentedeprrafopredeter"/>
    <w:uiPriority w:val="99"/>
    <w:unhideWhenUsed/>
    <w:rsid w:val="00B64A86"/>
    <w:rPr>
      <w:color w:val="0563C1" w:themeColor="hyperlink"/>
      <w:u w:val="single"/>
    </w:rPr>
  </w:style>
  <w:style w:type="paragraph" w:styleId="Prrafodelista">
    <w:name w:val="List Paragraph"/>
    <w:basedOn w:val="Normal"/>
    <w:uiPriority w:val="34"/>
    <w:qFormat/>
    <w:rsid w:val="00105735"/>
    <w:pPr>
      <w:ind w:left="720"/>
      <w:contextualSpacing/>
    </w:pPr>
  </w:style>
  <w:style w:type="character" w:customStyle="1" w:styleId="hwtze">
    <w:name w:val="hwtze"/>
    <w:basedOn w:val="Fuentedeprrafopredeter"/>
    <w:rsid w:val="00F60412"/>
  </w:style>
  <w:style w:type="character" w:customStyle="1" w:styleId="rynqvb">
    <w:name w:val="rynqvb"/>
    <w:basedOn w:val="Fuentedeprrafopredeter"/>
    <w:rsid w:val="00F60412"/>
  </w:style>
  <w:style w:type="paragraph" w:styleId="Encabezado">
    <w:name w:val="header"/>
    <w:basedOn w:val="Normal"/>
    <w:link w:val="EncabezadoCar"/>
    <w:uiPriority w:val="99"/>
    <w:unhideWhenUsed/>
    <w:rsid w:val="00684E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4E36"/>
    <w:rPr>
      <w:lang w:val="es-MX"/>
    </w:rPr>
  </w:style>
  <w:style w:type="paragraph" w:styleId="Piedepgina">
    <w:name w:val="footer"/>
    <w:basedOn w:val="Normal"/>
    <w:link w:val="PiedepginaCar"/>
    <w:uiPriority w:val="99"/>
    <w:unhideWhenUsed/>
    <w:rsid w:val="00684E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4E36"/>
    <w:rPr>
      <w:lang w:val="es-MX"/>
    </w:rPr>
  </w:style>
  <w:style w:type="paragraph" w:styleId="Textodeglobo">
    <w:name w:val="Balloon Text"/>
    <w:basedOn w:val="Normal"/>
    <w:link w:val="TextodegloboCar"/>
    <w:uiPriority w:val="99"/>
    <w:semiHidden/>
    <w:unhideWhenUsed/>
    <w:rsid w:val="001D1F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1F11"/>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alex@nauta.cu" TargetMode="External"/><Relationship Id="rId13" Type="http://schemas.openxmlformats.org/officeDocument/2006/relationships/hyperlink" Target="http://apps.nccd.cdc.gov/DDTSTRS/default.aspx" TargetMode="External"/><Relationship Id="rId18" Type="http://schemas.openxmlformats.org/officeDocument/2006/relationships/hyperlink" Target="http://es.wikipedia.org/wiki/Demograf%C3%ADa_de_Cub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imalex@nauta.cu" TargetMode="External"/><Relationship Id="rId12" Type="http://schemas.openxmlformats.org/officeDocument/2006/relationships/hyperlink" Target="http://scielo.sld.cu/scielo.php?script=sci_arttext&amp;pid=S1682-00372018000100007&amp;nrm=iso" TargetMode="External"/><Relationship Id="rId17" Type="http://schemas.openxmlformats.org/officeDocument/2006/relationships/hyperlink" Target="https://europepmc.org/books/NBK513253;jsessionid=9B29ED092FE23B7A2FF63CD3E9685FC6" TargetMode="External"/><Relationship Id="rId2" Type="http://schemas.openxmlformats.org/officeDocument/2006/relationships/styles" Target="styles.xml"/><Relationship Id="rId16" Type="http://schemas.openxmlformats.org/officeDocument/2006/relationships/hyperlink" Target="https://www.diabetesatlas.org/en/resources/" TargetMode="External"/><Relationship Id="rId20" Type="http://schemas.openxmlformats.org/officeDocument/2006/relationships/hyperlink" Target="http://scielo.sld.cu/scielo.php?script=sci_arttext&amp;pid=S1561-29532006000200003&amp;l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vistaamc.sld.cu/index.php/amc/article/view/3871" TargetMode="External"/><Relationship Id="rId5" Type="http://schemas.openxmlformats.org/officeDocument/2006/relationships/footnotes" Target="footnotes.xml"/><Relationship Id="rId15" Type="http://schemas.openxmlformats.org/officeDocument/2006/relationships/hyperlink" Target="https://www.uptodate.com/contents/treatment-of-diabetic-neuropathy" TargetMode="External"/><Relationship Id="rId10" Type="http://schemas.openxmlformats.org/officeDocument/2006/relationships/hyperlink" Target="http://scielo.sld.cu/scielo.php?script=sci_arttext&amp;pid=S1684182420160004000&amp;lng=es" TargetMode="External"/><Relationship Id="rId19" Type="http://schemas.openxmlformats.org/officeDocument/2006/relationships/hyperlink" Target="http://www.onei.gob.cu/node/14718"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cieloprueba.sld.cu/scielo.php?script=sci_arttext&amp;pid=S168200372016000200003&amp;lng=es"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33</Pages>
  <Words>8799</Words>
  <Characters>48400</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Administradores</Company>
  <LinksUpToDate>false</LinksUpToDate>
  <CharactersWithSpaces>57085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19</cp:revision>
  <cp:lastPrinted>2023-06-09T20:50:00Z</cp:lastPrinted>
  <dcterms:created xsi:type="dcterms:W3CDTF">2023-06-09T20:06:00Z</dcterms:created>
  <dcterms:modified xsi:type="dcterms:W3CDTF">2023-06-10T15:07:00Z</dcterms:modified>
</cp:coreProperties>
</file>